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06180" w14:textId="77777777" w:rsidR="000579E8" w:rsidRDefault="00AA36E9" w:rsidP="000579E8">
      <w:pPr>
        <w:spacing w:after="0" w:line="276" w:lineRule="auto"/>
        <w:jc w:val="center"/>
        <w:rPr>
          <w:b/>
          <w:bCs/>
          <w:color w:val="auto"/>
          <w:szCs w:val="24"/>
          <w:u w:val="none"/>
        </w:rPr>
      </w:pPr>
      <w:r>
        <w:rPr>
          <w:b/>
          <w:bCs/>
          <w:color w:val="auto"/>
          <w:szCs w:val="24"/>
          <w:u w:val="none"/>
        </w:rPr>
        <w:t>Z</w:t>
      </w:r>
      <w:r w:rsidR="00EF0A1F" w:rsidRPr="00E64051">
        <w:rPr>
          <w:b/>
          <w:bCs/>
          <w:color w:val="auto"/>
          <w:szCs w:val="24"/>
          <w:u w:val="none"/>
        </w:rPr>
        <w:t>estawienie nieuwzględnionych uwag</w:t>
      </w:r>
      <w:r w:rsidR="00C13468" w:rsidRPr="00E64051">
        <w:rPr>
          <w:b/>
          <w:bCs/>
          <w:color w:val="auto"/>
          <w:szCs w:val="24"/>
          <w:u w:val="none"/>
        </w:rPr>
        <w:t xml:space="preserve"> </w:t>
      </w:r>
      <w:r w:rsidR="00EF0A1F" w:rsidRPr="00E64051">
        <w:rPr>
          <w:b/>
          <w:bCs/>
          <w:color w:val="auto"/>
          <w:szCs w:val="24"/>
          <w:u w:val="none"/>
        </w:rPr>
        <w:t>zgłoszonych w ram</w:t>
      </w:r>
      <w:r w:rsidR="006C3293" w:rsidRPr="00E64051">
        <w:rPr>
          <w:b/>
          <w:bCs/>
          <w:color w:val="auto"/>
          <w:szCs w:val="24"/>
          <w:u w:val="none"/>
        </w:rPr>
        <w:t>a</w:t>
      </w:r>
      <w:r w:rsidR="00EF0A1F" w:rsidRPr="00E64051">
        <w:rPr>
          <w:b/>
          <w:bCs/>
          <w:color w:val="auto"/>
          <w:szCs w:val="24"/>
          <w:u w:val="none"/>
        </w:rPr>
        <w:t>ch konsultacji publicznych oraz opiniowania</w:t>
      </w:r>
      <w:r w:rsidR="00C13468" w:rsidRPr="00E64051">
        <w:rPr>
          <w:b/>
          <w:bCs/>
          <w:color w:val="auto"/>
          <w:szCs w:val="24"/>
          <w:u w:val="none"/>
        </w:rPr>
        <w:t xml:space="preserve"> </w:t>
      </w:r>
    </w:p>
    <w:p w14:paraId="27247B65" w14:textId="77777777" w:rsidR="000579E8" w:rsidRDefault="00C13468" w:rsidP="000579E8">
      <w:pPr>
        <w:spacing w:after="0" w:line="276" w:lineRule="auto"/>
        <w:jc w:val="center"/>
        <w:rPr>
          <w:b/>
          <w:bCs/>
          <w:szCs w:val="24"/>
          <w:u w:val="none"/>
        </w:rPr>
      </w:pPr>
      <w:r w:rsidRPr="00E64051">
        <w:rPr>
          <w:b/>
          <w:bCs/>
          <w:i/>
          <w:iCs/>
          <w:szCs w:val="24"/>
          <w:u w:val="none"/>
        </w:rPr>
        <w:t>projektu rozporządzenia Ministra Sprawiedliwości</w:t>
      </w:r>
      <w:r w:rsidR="00A7159C" w:rsidRPr="00E64051">
        <w:rPr>
          <w:b/>
          <w:bCs/>
          <w:i/>
          <w:iCs/>
          <w:szCs w:val="24"/>
          <w:u w:val="none"/>
        </w:rPr>
        <w:t xml:space="preserve"> zmieniającego rozporządzenie w sprawie trybu i sposobu dokonywania doręczeń elektronicznych</w:t>
      </w:r>
      <w:r w:rsidR="00A7159C" w:rsidRPr="00E64051">
        <w:rPr>
          <w:b/>
          <w:bCs/>
          <w:szCs w:val="24"/>
          <w:u w:val="none"/>
        </w:rPr>
        <w:t xml:space="preserve">  </w:t>
      </w:r>
    </w:p>
    <w:p w14:paraId="42788CFB" w14:textId="11F961AA" w:rsidR="00EF0A1F" w:rsidRPr="00E64051" w:rsidRDefault="00A7159C" w:rsidP="000579E8">
      <w:pPr>
        <w:spacing w:after="0" w:line="276" w:lineRule="auto"/>
        <w:jc w:val="center"/>
        <w:rPr>
          <w:b/>
          <w:bCs/>
          <w:szCs w:val="24"/>
          <w:u w:val="none"/>
        </w:rPr>
      </w:pPr>
      <w:r w:rsidRPr="00E64051">
        <w:rPr>
          <w:b/>
          <w:bCs/>
          <w:szCs w:val="24"/>
          <w:u w:val="none"/>
        </w:rPr>
        <w:t>(B564)</w:t>
      </w:r>
    </w:p>
    <w:p w14:paraId="25C5563F" w14:textId="647DC27E" w:rsidR="00EF0A1F" w:rsidRPr="00E64051" w:rsidRDefault="00EF0A1F" w:rsidP="00E64051">
      <w:pPr>
        <w:spacing w:after="0" w:line="276" w:lineRule="auto"/>
        <w:rPr>
          <w:color w:val="auto"/>
          <w:sz w:val="20"/>
          <w:szCs w:val="20"/>
        </w:rPr>
      </w:pPr>
    </w:p>
    <w:p w14:paraId="1E8A794B" w14:textId="77777777" w:rsidR="00EF0A1F" w:rsidRPr="00E64051" w:rsidRDefault="00EF0A1F" w:rsidP="00E64051">
      <w:pPr>
        <w:spacing w:after="0" w:line="276" w:lineRule="auto"/>
        <w:rPr>
          <w:color w:val="auto"/>
          <w:sz w:val="20"/>
          <w:szCs w:val="20"/>
        </w:rPr>
      </w:pPr>
      <w:r w:rsidRPr="00E64051">
        <w:rPr>
          <w:color w:val="auto"/>
          <w:sz w:val="20"/>
          <w:szCs w:val="20"/>
          <w:u w:val="none"/>
        </w:rPr>
        <w:t xml:space="preserve"> </w:t>
      </w:r>
    </w:p>
    <w:p w14:paraId="415BF3E2" w14:textId="77777777" w:rsidR="00EF0A1F" w:rsidRPr="00E64051" w:rsidRDefault="00EF0A1F" w:rsidP="00E64051">
      <w:pPr>
        <w:spacing w:after="0" w:line="276" w:lineRule="auto"/>
        <w:rPr>
          <w:color w:val="auto"/>
          <w:sz w:val="20"/>
          <w:szCs w:val="20"/>
        </w:rPr>
      </w:pPr>
      <w:r w:rsidRPr="00E64051">
        <w:rPr>
          <w:color w:val="auto"/>
          <w:sz w:val="20"/>
          <w:szCs w:val="20"/>
          <w:u w:val="none"/>
        </w:rPr>
        <w:t xml:space="preserve"> </w:t>
      </w:r>
    </w:p>
    <w:tbl>
      <w:tblPr>
        <w:tblStyle w:val="TableGrid"/>
        <w:tblW w:w="10490" w:type="dxa"/>
        <w:tblInd w:w="-714" w:type="dxa"/>
        <w:tblCellMar>
          <w:top w:w="54" w:type="dxa"/>
          <w:left w:w="108" w:type="dxa"/>
          <w:right w:w="47" w:type="dxa"/>
        </w:tblCellMar>
        <w:tblLook w:val="04A0" w:firstRow="1" w:lastRow="0" w:firstColumn="1" w:lastColumn="0" w:noHBand="0" w:noVBand="1"/>
      </w:tblPr>
      <w:tblGrid>
        <w:gridCol w:w="1433"/>
        <w:gridCol w:w="4726"/>
        <w:gridCol w:w="4331"/>
      </w:tblGrid>
      <w:tr w:rsidR="006C3293" w:rsidRPr="00E64051" w14:paraId="50C0AECD" w14:textId="77777777" w:rsidTr="007A0549">
        <w:trPr>
          <w:trHeight w:val="841"/>
        </w:trPr>
        <w:tc>
          <w:tcPr>
            <w:tcW w:w="1418" w:type="dxa"/>
            <w:tcBorders>
              <w:top w:val="single" w:sz="4" w:space="0" w:color="000000"/>
              <w:left w:val="single" w:sz="4" w:space="0" w:color="000000"/>
              <w:bottom w:val="single" w:sz="4" w:space="0" w:color="000000"/>
              <w:right w:val="single" w:sz="4" w:space="0" w:color="000000"/>
            </w:tcBorders>
          </w:tcPr>
          <w:p w14:paraId="7FA8036F" w14:textId="77777777" w:rsidR="00C51AE2" w:rsidRPr="00E64051" w:rsidRDefault="00C51AE2" w:rsidP="00E64051">
            <w:pPr>
              <w:spacing w:after="0" w:line="276" w:lineRule="auto"/>
              <w:ind w:left="22"/>
              <w:rPr>
                <w:color w:val="auto"/>
                <w:sz w:val="20"/>
                <w:szCs w:val="20"/>
              </w:rPr>
            </w:pPr>
            <w:r w:rsidRPr="00E64051">
              <w:rPr>
                <w:b/>
                <w:color w:val="auto"/>
                <w:sz w:val="20"/>
                <w:szCs w:val="20"/>
                <w:u w:val="none"/>
              </w:rPr>
              <w:t>Organ zgłaszający</w:t>
            </w:r>
            <w:r w:rsidRPr="00E64051">
              <w:rPr>
                <w:color w:val="auto"/>
                <w:sz w:val="20"/>
                <w:szCs w:val="20"/>
                <w:u w:val="none"/>
              </w:rPr>
              <w:t xml:space="preserve"> </w:t>
            </w:r>
          </w:p>
        </w:tc>
        <w:tc>
          <w:tcPr>
            <w:tcW w:w="4736" w:type="dxa"/>
            <w:tcBorders>
              <w:top w:val="single" w:sz="4" w:space="0" w:color="000000"/>
              <w:left w:val="nil"/>
              <w:bottom w:val="single" w:sz="4" w:space="0" w:color="000000"/>
              <w:right w:val="single" w:sz="4" w:space="0" w:color="000000"/>
            </w:tcBorders>
          </w:tcPr>
          <w:p w14:paraId="5B4376AF" w14:textId="77777777" w:rsidR="00C51AE2" w:rsidRPr="00E64051" w:rsidRDefault="00C51AE2" w:rsidP="00E64051">
            <w:pPr>
              <w:spacing w:after="0" w:line="276" w:lineRule="auto"/>
              <w:ind w:left="463"/>
              <w:rPr>
                <w:color w:val="auto"/>
                <w:sz w:val="20"/>
                <w:szCs w:val="20"/>
              </w:rPr>
            </w:pPr>
            <w:r w:rsidRPr="00E64051">
              <w:rPr>
                <w:b/>
                <w:color w:val="auto"/>
                <w:sz w:val="20"/>
                <w:szCs w:val="20"/>
                <w:u w:val="none"/>
              </w:rPr>
              <w:t xml:space="preserve">Treść uwagi </w:t>
            </w:r>
          </w:p>
        </w:tc>
        <w:tc>
          <w:tcPr>
            <w:tcW w:w="4336" w:type="dxa"/>
            <w:tcBorders>
              <w:top w:val="single" w:sz="4" w:space="0" w:color="000000"/>
              <w:left w:val="single" w:sz="4" w:space="0" w:color="000000"/>
              <w:bottom w:val="single" w:sz="4" w:space="0" w:color="000000"/>
              <w:right w:val="single" w:sz="4" w:space="0" w:color="000000"/>
            </w:tcBorders>
          </w:tcPr>
          <w:p w14:paraId="462D0A4A" w14:textId="77777777" w:rsidR="00C51AE2" w:rsidRPr="00E64051" w:rsidRDefault="00C51AE2" w:rsidP="00E64051">
            <w:pPr>
              <w:spacing w:after="0" w:line="276" w:lineRule="auto"/>
              <w:ind w:right="61"/>
              <w:jc w:val="left"/>
              <w:rPr>
                <w:color w:val="auto"/>
                <w:sz w:val="20"/>
                <w:szCs w:val="20"/>
              </w:rPr>
            </w:pPr>
            <w:r w:rsidRPr="00E64051">
              <w:rPr>
                <w:b/>
                <w:color w:val="auto"/>
                <w:sz w:val="20"/>
                <w:szCs w:val="20"/>
                <w:u w:val="none"/>
              </w:rPr>
              <w:t xml:space="preserve">Informacja </w:t>
            </w:r>
          </w:p>
          <w:p w14:paraId="48F0963E" w14:textId="55EB65AF" w:rsidR="00C51AE2" w:rsidRPr="00E64051" w:rsidRDefault="00E64051" w:rsidP="00E64051">
            <w:pPr>
              <w:spacing w:after="0" w:line="276" w:lineRule="auto"/>
              <w:jc w:val="left"/>
              <w:rPr>
                <w:color w:val="auto"/>
                <w:sz w:val="20"/>
                <w:szCs w:val="20"/>
              </w:rPr>
            </w:pPr>
            <w:r>
              <w:rPr>
                <w:b/>
                <w:color w:val="auto"/>
                <w:sz w:val="20"/>
                <w:szCs w:val="20"/>
                <w:u w:val="none"/>
              </w:rPr>
              <w:t xml:space="preserve">o </w:t>
            </w:r>
            <w:r w:rsidR="00C51AE2" w:rsidRPr="00E64051">
              <w:rPr>
                <w:b/>
                <w:color w:val="auto"/>
                <w:sz w:val="20"/>
                <w:szCs w:val="20"/>
                <w:u w:val="none"/>
              </w:rPr>
              <w:t xml:space="preserve">uwzględnieniu/nieuwzględnieniu </w:t>
            </w:r>
            <w:r>
              <w:rPr>
                <w:b/>
                <w:color w:val="auto"/>
                <w:sz w:val="20"/>
                <w:szCs w:val="20"/>
                <w:u w:val="none"/>
              </w:rPr>
              <w:br/>
            </w:r>
            <w:r w:rsidR="00C51AE2" w:rsidRPr="00E64051">
              <w:rPr>
                <w:b/>
                <w:color w:val="auto"/>
                <w:sz w:val="20"/>
                <w:szCs w:val="20"/>
                <w:u w:val="none"/>
              </w:rPr>
              <w:t xml:space="preserve">wraz z uzasadnieniem </w:t>
            </w:r>
          </w:p>
        </w:tc>
      </w:tr>
      <w:tr w:rsidR="005975D8" w:rsidRPr="00E64051" w14:paraId="58580178" w14:textId="77777777" w:rsidTr="007A0549">
        <w:trPr>
          <w:trHeight w:val="3046"/>
        </w:trPr>
        <w:tc>
          <w:tcPr>
            <w:tcW w:w="1418" w:type="dxa"/>
            <w:tcBorders>
              <w:top w:val="single" w:sz="4" w:space="0" w:color="000000"/>
              <w:left w:val="single" w:sz="4" w:space="0" w:color="000000"/>
              <w:bottom w:val="single" w:sz="4" w:space="0" w:color="000000"/>
              <w:right w:val="single" w:sz="4" w:space="0" w:color="000000"/>
            </w:tcBorders>
          </w:tcPr>
          <w:p w14:paraId="19B87F19" w14:textId="1C82A394" w:rsidR="005975D8" w:rsidRPr="00E64051" w:rsidRDefault="005975D8" w:rsidP="00E64051">
            <w:pPr>
              <w:spacing w:after="0" w:line="276" w:lineRule="auto"/>
              <w:rPr>
                <w:rFonts w:eastAsiaTheme="minorHAnsi"/>
                <w:b/>
                <w:bCs/>
                <w:color w:val="auto"/>
                <w:sz w:val="20"/>
                <w:szCs w:val="20"/>
                <w:u w:val="none"/>
                <w:lang w:eastAsia="en-US"/>
              </w:rPr>
            </w:pPr>
            <w:r>
              <w:rPr>
                <w:rFonts w:eastAsiaTheme="minorHAnsi"/>
                <w:b/>
                <w:bCs/>
                <w:color w:val="auto"/>
                <w:sz w:val="20"/>
                <w:szCs w:val="20"/>
                <w:u w:val="none"/>
                <w:lang w:eastAsia="en-US"/>
              </w:rPr>
              <w:t>Sąd Najwyższy</w:t>
            </w:r>
          </w:p>
        </w:tc>
        <w:tc>
          <w:tcPr>
            <w:tcW w:w="4736" w:type="dxa"/>
            <w:tcBorders>
              <w:top w:val="single" w:sz="4" w:space="0" w:color="000000"/>
              <w:left w:val="single" w:sz="4" w:space="0" w:color="000000"/>
              <w:bottom w:val="single" w:sz="4" w:space="0" w:color="000000"/>
              <w:right w:val="single" w:sz="4" w:space="0" w:color="000000"/>
            </w:tcBorders>
          </w:tcPr>
          <w:p w14:paraId="55F0A30B" w14:textId="04670606" w:rsidR="005975D8" w:rsidRPr="00E64051" w:rsidRDefault="005975D8" w:rsidP="00E64051">
            <w:pPr>
              <w:autoSpaceDE w:val="0"/>
              <w:autoSpaceDN w:val="0"/>
              <w:adjustRightInd w:val="0"/>
              <w:spacing w:after="0" w:line="276" w:lineRule="auto"/>
              <w:rPr>
                <w:color w:val="auto"/>
                <w:sz w:val="20"/>
                <w:szCs w:val="20"/>
                <w:u w:val="none"/>
              </w:rPr>
            </w:pPr>
            <w:r w:rsidRPr="00E64051">
              <w:rPr>
                <w:rFonts w:eastAsiaTheme="minorHAnsi"/>
                <w:b/>
                <w:bCs/>
                <w:color w:val="auto"/>
                <w:sz w:val="20"/>
                <w:szCs w:val="20"/>
                <w:u w:val="none"/>
                <w:lang w:eastAsia="en-US"/>
              </w:rPr>
              <w:t>§</w:t>
            </w:r>
            <w:r>
              <w:rPr>
                <w:rFonts w:eastAsiaTheme="minorHAnsi"/>
                <w:b/>
                <w:bCs/>
                <w:color w:val="auto"/>
                <w:sz w:val="20"/>
                <w:szCs w:val="20"/>
                <w:u w:val="none"/>
                <w:lang w:eastAsia="en-US"/>
              </w:rPr>
              <w:t xml:space="preserve"> 3 </w:t>
            </w:r>
            <w:r w:rsidRPr="002164B3">
              <w:rPr>
                <w:rFonts w:eastAsiaTheme="minorHAnsi"/>
                <w:color w:val="auto"/>
                <w:sz w:val="20"/>
                <w:szCs w:val="20"/>
                <w:u w:val="none"/>
                <w:lang w:eastAsia="en-US"/>
              </w:rPr>
              <w:t>– zamiast wprowadzać do § 3 zasadę niezmienności konta – z czym się wiąże konieczność wprowadzenia kazuistycznych przepisów</w:t>
            </w:r>
            <w:r w:rsidR="002164B3" w:rsidRPr="002164B3">
              <w:rPr>
                <w:rFonts w:eastAsiaTheme="minorHAnsi"/>
                <w:color w:val="auto"/>
                <w:sz w:val="20"/>
                <w:szCs w:val="20"/>
                <w:u w:val="none"/>
                <w:lang w:eastAsia="en-US"/>
              </w:rPr>
              <w:t xml:space="preserve"> szczególnych ją wyłączających – można byłoby w sposób generalny uregulować w rozporządzeniu możliwość zmiany konta, na które dokonywane są doręczenia elektroniczne.</w:t>
            </w:r>
          </w:p>
        </w:tc>
        <w:tc>
          <w:tcPr>
            <w:tcW w:w="4336" w:type="dxa"/>
            <w:tcBorders>
              <w:top w:val="single" w:sz="4" w:space="0" w:color="000000"/>
              <w:left w:val="single" w:sz="4" w:space="0" w:color="000000"/>
              <w:bottom w:val="single" w:sz="4" w:space="0" w:color="000000"/>
              <w:right w:val="single" w:sz="4" w:space="0" w:color="000000"/>
            </w:tcBorders>
          </w:tcPr>
          <w:p w14:paraId="697C3483" w14:textId="77777777" w:rsidR="005975D8" w:rsidRDefault="002164B3" w:rsidP="00E64051">
            <w:pPr>
              <w:spacing w:after="0" w:line="276" w:lineRule="auto"/>
              <w:rPr>
                <w:b/>
                <w:bCs/>
                <w:color w:val="auto"/>
                <w:sz w:val="20"/>
                <w:szCs w:val="20"/>
                <w:u w:val="none"/>
              </w:rPr>
            </w:pPr>
            <w:r>
              <w:rPr>
                <w:b/>
                <w:bCs/>
                <w:color w:val="auto"/>
                <w:sz w:val="20"/>
                <w:szCs w:val="20"/>
                <w:u w:val="none"/>
              </w:rPr>
              <w:t xml:space="preserve">Uwaga nieuwzględniona </w:t>
            </w:r>
          </w:p>
          <w:p w14:paraId="0BABC959" w14:textId="1EC5B7C1" w:rsidR="002164B3" w:rsidRPr="00F70047" w:rsidRDefault="002164B3" w:rsidP="00E64051">
            <w:pPr>
              <w:spacing w:after="0" w:line="276" w:lineRule="auto"/>
              <w:rPr>
                <w:color w:val="auto"/>
                <w:sz w:val="20"/>
                <w:szCs w:val="20"/>
                <w:u w:val="none"/>
              </w:rPr>
            </w:pPr>
            <w:r w:rsidRPr="00F70047">
              <w:rPr>
                <w:color w:val="auto"/>
                <w:sz w:val="20"/>
                <w:szCs w:val="20"/>
                <w:u w:val="none"/>
              </w:rPr>
              <w:t xml:space="preserve">Funkcjonalność doręczenia pisma na inne konto niż konto, z którego wpłynęło pierwsze pismo w sprawie obecnie </w:t>
            </w:r>
            <w:r w:rsidR="00F70047">
              <w:rPr>
                <w:color w:val="auto"/>
                <w:sz w:val="20"/>
                <w:szCs w:val="20"/>
                <w:u w:val="none"/>
              </w:rPr>
              <w:t>występuje</w:t>
            </w:r>
            <w:r w:rsidRPr="00F70047">
              <w:rPr>
                <w:color w:val="auto"/>
                <w:sz w:val="20"/>
                <w:szCs w:val="20"/>
                <w:u w:val="none"/>
              </w:rPr>
              <w:t xml:space="preserve"> jedynie w systemach teleinformatycznych obsługujących postępowania sądowe, o których mowa w </w:t>
            </w:r>
            <w:r w:rsidRPr="00F70047">
              <w:rPr>
                <w:rFonts w:eastAsiaTheme="minorHAnsi"/>
                <w:color w:val="auto"/>
                <w:sz w:val="20"/>
                <w:szCs w:val="20"/>
                <w:u w:val="none"/>
                <w:lang w:eastAsia="en-US"/>
              </w:rPr>
              <w:t>§ 6-6</w:t>
            </w:r>
            <w:r w:rsidRPr="00F70047">
              <w:rPr>
                <w:rFonts w:eastAsiaTheme="minorHAnsi"/>
                <w:color w:val="auto"/>
                <w:sz w:val="20"/>
                <w:szCs w:val="20"/>
                <w:u w:val="none"/>
                <w:vertAlign w:val="superscript"/>
                <w:lang w:eastAsia="en-US"/>
              </w:rPr>
              <w:t xml:space="preserve">1 </w:t>
            </w:r>
            <w:r w:rsidR="00F70047">
              <w:rPr>
                <w:rFonts w:eastAsiaTheme="minorHAnsi"/>
                <w:color w:val="auto"/>
                <w:sz w:val="20"/>
                <w:szCs w:val="20"/>
                <w:u w:val="none"/>
                <w:lang w:eastAsia="en-US"/>
              </w:rPr>
              <w:t>rozporządzenia.</w:t>
            </w:r>
            <w:r w:rsidR="00F70047" w:rsidRPr="00F70047">
              <w:rPr>
                <w:rFonts w:eastAsiaTheme="minorHAnsi"/>
                <w:color w:val="auto"/>
                <w:sz w:val="20"/>
                <w:szCs w:val="20"/>
                <w:u w:val="none"/>
                <w:lang w:eastAsia="en-US"/>
              </w:rPr>
              <w:t xml:space="preserve"> Wobec powyższego, jako generalną zasadę w rozporządzeniu przyjęto , że </w:t>
            </w:r>
            <w:r w:rsidR="0081637A">
              <w:rPr>
                <w:sz w:val="20"/>
                <w:szCs w:val="20"/>
                <w:u w:val="none"/>
              </w:rPr>
              <w:t>d</w:t>
            </w:r>
            <w:r w:rsidR="00F70047" w:rsidRPr="00F70047">
              <w:rPr>
                <w:sz w:val="20"/>
                <w:szCs w:val="20"/>
                <w:u w:val="none"/>
              </w:rPr>
              <w:t>oręczenia pisma za pośrednictwem systemu teleinformatycznego dokonuje się poprzez jego umieszczenie na koncie, z którego adresat wniósł pierwsze pismo w sprawie.</w:t>
            </w:r>
          </w:p>
        </w:tc>
      </w:tr>
      <w:tr w:rsidR="006C3293" w:rsidRPr="00E64051" w14:paraId="75E4D963" w14:textId="77777777" w:rsidTr="007A0549">
        <w:trPr>
          <w:trHeight w:val="3046"/>
        </w:trPr>
        <w:tc>
          <w:tcPr>
            <w:tcW w:w="1418" w:type="dxa"/>
            <w:tcBorders>
              <w:top w:val="single" w:sz="4" w:space="0" w:color="000000"/>
              <w:left w:val="single" w:sz="4" w:space="0" w:color="000000"/>
              <w:bottom w:val="single" w:sz="4" w:space="0" w:color="000000"/>
              <w:right w:val="single" w:sz="4" w:space="0" w:color="000000"/>
            </w:tcBorders>
          </w:tcPr>
          <w:p w14:paraId="4555B837" w14:textId="5CD88660" w:rsidR="005D61E2" w:rsidRPr="00E64051" w:rsidRDefault="00A7159C" w:rsidP="00E64051">
            <w:pPr>
              <w:spacing w:after="0" w:line="276" w:lineRule="auto"/>
              <w:rPr>
                <w:color w:val="auto"/>
                <w:sz w:val="20"/>
                <w:szCs w:val="20"/>
                <w:u w:val="none"/>
              </w:rPr>
            </w:pPr>
            <w:r w:rsidRPr="00E64051">
              <w:rPr>
                <w:rFonts w:eastAsiaTheme="minorHAnsi"/>
                <w:b/>
                <w:bCs/>
                <w:color w:val="auto"/>
                <w:sz w:val="20"/>
                <w:szCs w:val="20"/>
                <w:u w:val="none"/>
                <w:lang w:eastAsia="en-US"/>
              </w:rPr>
              <w:t>Instytutu na rzecz Kultury Prawnej Ordo Iuris</w:t>
            </w:r>
          </w:p>
        </w:tc>
        <w:tc>
          <w:tcPr>
            <w:tcW w:w="4736" w:type="dxa"/>
            <w:tcBorders>
              <w:top w:val="single" w:sz="4" w:space="0" w:color="000000"/>
              <w:left w:val="single" w:sz="4" w:space="0" w:color="000000"/>
              <w:bottom w:val="single" w:sz="4" w:space="0" w:color="000000"/>
              <w:right w:val="single" w:sz="4" w:space="0" w:color="000000"/>
            </w:tcBorders>
          </w:tcPr>
          <w:p w14:paraId="2376DF9D" w14:textId="7864A4F3" w:rsidR="00A7159C" w:rsidRPr="00E64051" w:rsidRDefault="002866A0" w:rsidP="00E64051">
            <w:pPr>
              <w:autoSpaceDE w:val="0"/>
              <w:autoSpaceDN w:val="0"/>
              <w:adjustRightInd w:val="0"/>
              <w:spacing w:after="0" w:line="276" w:lineRule="auto"/>
              <w:rPr>
                <w:rFonts w:eastAsiaTheme="minorHAnsi"/>
                <w:color w:val="auto"/>
                <w:sz w:val="20"/>
                <w:szCs w:val="20"/>
                <w:u w:val="none"/>
                <w:lang w:eastAsia="en-US"/>
              </w:rPr>
            </w:pPr>
            <w:r w:rsidRPr="00E64051">
              <w:rPr>
                <w:color w:val="auto"/>
                <w:sz w:val="20"/>
                <w:szCs w:val="20"/>
                <w:u w:val="none"/>
              </w:rPr>
              <w:t xml:space="preserve"> </w:t>
            </w:r>
            <w:bookmarkStart w:id="0" w:name="_Hlk71710240"/>
            <w:r w:rsidR="00A7159C" w:rsidRPr="00E64051">
              <w:rPr>
                <w:rFonts w:eastAsiaTheme="minorHAnsi"/>
                <w:b/>
                <w:bCs/>
                <w:color w:val="auto"/>
                <w:sz w:val="20"/>
                <w:szCs w:val="20"/>
                <w:u w:val="none"/>
                <w:lang w:eastAsia="en-US"/>
              </w:rPr>
              <w:t>§</w:t>
            </w:r>
            <w:r w:rsidR="00935397">
              <w:rPr>
                <w:rFonts w:eastAsiaTheme="minorHAnsi"/>
                <w:b/>
                <w:bCs/>
                <w:color w:val="auto"/>
                <w:sz w:val="20"/>
                <w:szCs w:val="20"/>
                <w:u w:val="none"/>
                <w:lang w:eastAsia="en-US"/>
              </w:rPr>
              <w:t xml:space="preserve"> 1</w:t>
            </w:r>
            <w:r w:rsidR="00A7159C" w:rsidRPr="00E64051">
              <w:rPr>
                <w:rFonts w:eastAsiaTheme="minorHAnsi"/>
                <w:b/>
                <w:bCs/>
                <w:color w:val="auto"/>
                <w:sz w:val="20"/>
                <w:szCs w:val="20"/>
                <w:u w:val="none"/>
                <w:lang w:eastAsia="en-US"/>
              </w:rPr>
              <w:t xml:space="preserve"> </w:t>
            </w:r>
            <w:r w:rsidR="00BC516E">
              <w:rPr>
                <w:rFonts w:eastAsiaTheme="minorHAnsi"/>
                <w:b/>
                <w:bCs/>
                <w:color w:val="auto"/>
                <w:sz w:val="20"/>
                <w:szCs w:val="20"/>
                <w:u w:val="none"/>
                <w:lang w:eastAsia="en-US"/>
              </w:rPr>
              <w:t>pkt 3</w:t>
            </w:r>
            <w:r w:rsidR="00A7159C" w:rsidRPr="00E64051">
              <w:rPr>
                <w:rFonts w:eastAsiaTheme="minorHAnsi"/>
                <w:color w:val="auto"/>
                <w:sz w:val="20"/>
                <w:szCs w:val="20"/>
                <w:u w:val="none"/>
                <w:lang w:eastAsia="en-US"/>
              </w:rPr>
              <w:t xml:space="preserve"> - </w:t>
            </w:r>
            <w:r w:rsidR="00956394" w:rsidRPr="00E64051">
              <w:rPr>
                <w:rFonts w:eastAsiaTheme="minorHAnsi"/>
                <w:color w:val="auto"/>
                <w:sz w:val="20"/>
                <w:szCs w:val="20"/>
                <w:u w:val="none"/>
                <w:lang w:eastAsia="en-US"/>
              </w:rPr>
              <w:t>z</w:t>
            </w:r>
            <w:r w:rsidR="00A7159C" w:rsidRPr="00E64051">
              <w:rPr>
                <w:rFonts w:eastAsiaTheme="minorHAnsi"/>
                <w:color w:val="auto"/>
                <w:sz w:val="20"/>
                <w:szCs w:val="20"/>
                <w:u w:val="none"/>
                <w:lang w:eastAsia="en-US"/>
              </w:rPr>
              <w:t>astosowanie fikcji doręczeń niewątpliwie przyspiesza postępowanie sądowe, jednak nie może ono</w:t>
            </w:r>
          </w:p>
          <w:p w14:paraId="5774AE8C" w14:textId="3E6EA0D8" w:rsidR="00A7159C" w:rsidRPr="00E64051" w:rsidRDefault="00A7159C" w:rsidP="00E64051">
            <w:pPr>
              <w:autoSpaceDE w:val="0"/>
              <w:autoSpaceDN w:val="0"/>
              <w:adjustRightInd w:val="0"/>
              <w:spacing w:after="0" w:line="276" w:lineRule="auto"/>
              <w:rPr>
                <w:rFonts w:eastAsiaTheme="minorHAnsi"/>
                <w:color w:val="auto"/>
                <w:sz w:val="20"/>
                <w:szCs w:val="20"/>
                <w:u w:val="none"/>
                <w:lang w:eastAsia="en-US"/>
              </w:rPr>
            </w:pPr>
            <w:r w:rsidRPr="00E64051">
              <w:rPr>
                <w:rFonts w:eastAsiaTheme="minorHAnsi"/>
                <w:color w:val="auto"/>
                <w:sz w:val="20"/>
                <w:szCs w:val="20"/>
                <w:u w:val="none"/>
                <w:lang w:eastAsia="en-US"/>
              </w:rPr>
              <w:t>odbywać się kosztem interesu obywateli. Z uwagi na to, że projekt jest wykonaniem upoważnienia</w:t>
            </w:r>
            <w:r w:rsidR="00956394" w:rsidRPr="00E64051">
              <w:rPr>
                <w:rFonts w:eastAsiaTheme="minorHAnsi"/>
                <w:color w:val="auto"/>
                <w:sz w:val="20"/>
                <w:szCs w:val="20"/>
                <w:u w:val="none"/>
                <w:lang w:eastAsia="en-US"/>
              </w:rPr>
              <w:t xml:space="preserve"> </w:t>
            </w:r>
            <w:r w:rsidRPr="00E64051">
              <w:rPr>
                <w:rFonts w:eastAsiaTheme="minorHAnsi"/>
                <w:color w:val="auto"/>
                <w:sz w:val="20"/>
                <w:szCs w:val="20"/>
                <w:u w:val="none"/>
                <w:lang w:eastAsia="en-US"/>
              </w:rPr>
              <w:t>zawartego w art. 131</w:t>
            </w:r>
            <w:r w:rsidRPr="003F2AA6">
              <w:rPr>
                <w:rFonts w:eastAsiaTheme="minorHAnsi"/>
                <w:color w:val="auto"/>
                <w:sz w:val="20"/>
                <w:szCs w:val="20"/>
                <w:u w:val="none"/>
                <w:vertAlign w:val="superscript"/>
                <w:lang w:eastAsia="en-US"/>
              </w:rPr>
              <w:t>1</w:t>
            </w:r>
            <w:r w:rsidRPr="00E64051">
              <w:rPr>
                <w:rFonts w:eastAsiaTheme="minorHAnsi"/>
                <w:color w:val="auto"/>
                <w:sz w:val="20"/>
                <w:szCs w:val="20"/>
                <w:u w:val="none"/>
                <w:lang w:eastAsia="en-US"/>
              </w:rPr>
              <w:t>§ 3 ustawy z dnia 17 listopada 1964 r. – Kodeks postępowania cywilnego to</w:t>
            </w:r>
            <w:r w:rsidR="003F2AA6">
              <w:rPr>
                <w:rFonts w:eastAsiaTheme="minorHAnsi"/>
                <w:color w:val="auto"/>
                <w:sz w:val="20"/>
                <w:szCs w:val="20"/>
                <w:u w:val="none"/>
                <w:lang w:eastAsia="en-US"/>
              </w:rPr>
              <w:t xml:space="preserve"> </w:t>
            </w:r>
            <w:r w:rsidRPr="00E64051">
              <w:rPr>
                <w:rFonts w:eastAsiaTheme="minorHAnsi"/>
                <w:color w:val="auto"/>
                <w:sz w:val="20"/>
                <w:szCs w:val="20"/>
                <w:u w:val="none"/>
                <w:lang w:eastAsia="en-US"/>
              </w:rPr>
              <w:t>zgodnie z treścią wskazanego przepisu, określając w drodze rozporządzenia tryb i sposób dokonywania</w:t>
            </w:r>
            <w:r w:rsidR="00956394" w:rsidRPr="00E64051">
              <w:rPr>
                <w:rFonts w:eastAsiaTheme="minorHAnsi"/>
                <w:color w:val="auto"/>
                <w:sz w:val="20"/>
                <w:szCs w:val="20"/>
                <w:u w:val="none"/>
                <w:lang w:eastAsia="en-US"/>
              </w:rPr>
              <w:t xml:space="preserve"> </w:t>
            </w:r>
            <w:r w:rsidRPr="00E64051">
              <w:rPr>
                <w:rFonts w:eastAsiaTheme="minorHAnsi"/>
                <w:color w:val="auto"/>
                <w:sz w:val="20"/>
                <w:szCs w:val="20"/>
                <w:u w:val="none"/>
                <w:lang w:eastAsia="en-US"/>
              </w:rPr>
              <w:t>doręczeń elektronicznych, winno się mieć na względzie zapewnienie skuteczności doręczeń oraz</w:t>
            </w:r>
            <w:r w:rsidR="00956394" w:rsidRPr="00E64051">
              <w:rPr>
                <w:rFonts w:eastAsiaTheme="minorHAnsi"/>
                <w:color w:val="auto"/>
                <w:sz w:val="20"/>
                <w:szCs w:val="20"/>
                <w:u w:val="none"/>
                <w:lang w:eastAsia="en-US"/>
              </w:rPr>
              <w:t xml:space="preserve"> </w:t>
            </w:r>
            <w:r w:rsidRPr="00E64051">
              <w:rPr>
                <w:rFonts w:eastAsiaTheme="minorHAnsi"/>
                <w:color w:val="auto"/>
                <w:sz w:val="20"/>
                <w:szCs w:val="20"/>
                <w:u w:val="none"/>
                <w:lang w:eastAsia="en-US"/>
              </w:rPr>
              <w:t>ochronę praw osób, którym pisma są doręczane.</w:t>
            </w:r>
          </w:p>
          <w:p w14:paraId="32591D6E" w14:textId="77777777" w:rsidR="00A7159C" w:rsidRPr="005975D8" w:rsidRDefault="00A7159C" w:rsidP="00E64051">
            <w:pPr>
              <w:autoSpaceDE w:val="0"/>
              <w:autoSpaceDN w:val="0"/>
              <w:adjustRightInd w:val="0"/>
              <w:spacing w:after="0" w:line="276" w:lineRule="auto"/>
              <w:rPr>
                <w:rFonts w:eastAsiaTheme="minorHAnsi"/>
                <w:color w:val="auto"/>
                <w:sz w:val="20"/>
                <w:szCs w:val="20"/>
                <w:u w:val="none"/>
                <w:lang w:eastAsia="en-US"/>
              </w:rPr>
            </w:pPr>
            <w:r w:rsidRPr="005975D8">
              <w:rPr>
                <w:rFonts w:eastAsiaTheme="minorHAnsi"/>
                <w:color w:val="auto"/>
                <w:sz w:val="20"/>
                <w:szCs w:val="20"/>
                <w:u w:val="none"/>
                <w:lang w:eastAsia="en-US"/>
              </w:rPr>
              <w:t>W projekcie pomięto jednak istotną kwestię, wpływającą na skuteczność doręczenia oraz ochronę praw</w:t>
            </w:r>
          </w:p>
          <w:p w14:paraId="1FCAE65F" w14:textId="77777777" w:rsidR="00A7159C" w:rsidRPr="005975D8" w:rsidRDefault="00A7159C" w:rsidP="00E64051">
            <w:pPr>
              <w:autoSpaceDE w:val="0"/>
              <w:autoSpaceDN w:val="0"/>
              <w:adjustRightInd w:val="0"/>
              <w:spacing w:after="0" w:line="276" w:lineRule="auto"/>
              <w:rPr>
                <w:rFonts w:eastAsiaTheme="minorHAnsi"/>
                <w:color w:val="auto"/>
                <w:sz w:val="20"/>
                <w:szCs w:val="20"/>
                <w:u w:val="none"/>
                <w:lang w:eastAsia="en-US"/>
              </w:rPr>
            </w:pPr>
            <w:r w:rsidRPr="005975D8">
              <w:rPr>
                <w:rFonts w:eastAsiaTheme="minorHAnsi"/>
                <w:color w:val="auto"/>
                <w:sz w:val="20"/>
                <w:szCs w:val="20"/>
                <w:u w:val="none"/>
                <w:lang w:eastAsia="en-US"/>
              </w:rPr>
              <w:t>adresata pisma, jaką jest ponowne powiadomienie po pierwszych 7 dniach o pozostawieniu na koncie</w:t>
            </w:r>
          </w:p>
          <w:p w14:paraId="04890135" w14:textId="09CEB503" w:rsidR="005D61E2" w:rsidRPr="003F2AA6" w:rsidRDefault="00A7159C" w:rsidP="00E64051">
            <w:pPr>
              <w:autoSpaceDE w:val="0"/>
              <w:autoSpaceDN w:val="0"/>
              <w:adjustRightInd w:val="0"/>
              <w:spacing w:after="0" w:line="276" w:lineRule="auto"/>
              <w:rPr>
                <w:rFonts w:eastAsiaTheme="minorHAnsi"/>
                <w:color w:val="auto"/>
                <w:sz w:val="20"/>
                <w:szCs w:val="20"/>
                <w:u w:val="none"/>
                <w:lang w:eastAsia="en-US"/>
              </w:rPr>
            </w:pPr>
            <w:r w:rsidRPr="005975D8">
              <w:rPr>
                <w:rFonts w:eastAsiaTheme="minorHAnsi"/>
                <w:color w:val="auto"/>
                <w:sz w:val="20"/>
                <w:szCs w:val="20"/>
                <w:u w:val="none"/>
                <w:lang w:eastAsia="en-US"/>
              </w:rPr>
              <w:t>pisma.</w:t>
            </w:r>
            <w:r w:rsidR="00956394" w:rsidRPr="00E64051">
              <w:rPr>
                <w:rFonts w:eastAsiaTheme="minorHAnsi"/>
                <w:color w:val="auto"/>
                <w:sz w:val="20"/>
                <w:szCs w:val="20"/>
                <w:u w:val="none"/>
                <w:lang w:eastAsia="en-US"/>
              </w:rPr>
              <w:t xml:space="preserve"> </w:t>
            </w:r>
            <w:bookmarkEnd w:id="0"/>
          </w:p>
        </w:tc>
        <w:tc>
          <w:tcPr>
            <w:tcW w:w="4336" w:type="dxa"/>
            <w:tcBorders>
              <w:top w:val="single" w:sz="4" w:space="0" w:color="000000"/>
              <w:left w:val="single" w:sz="4" w:space="0" w:color="000000"/>
              <w:bottom w:val="single" w:sz="4" w:space="0" w:color="000000"/>
              <w:right w:val="single" w:sz="4" w:space="0" w:color="000000"/>
            </w:tcBorders>
          </w:tcPr>
          <w:p w14:paraId="4FB469BF" w14:textId="1AAD01F3" w:rsidR="00B229FF" w:rsidRPr="00E64051" w:rsidRDefault="00956394" w:rsidP="00E64051">
            <w:pPr>
              <w:spacing w:after="0" w:line="276" w:lineRule="auto"/>
              <w:rPr>
                <w:b/>
                <w:bCs/>
                <w:color w:val="auto"/>
                <w:sz w:val="20"/>
                <w:szCs w:val="20"/>
                <w:u w:val="none"/>
              </w:rPr>
            </w:pPr>
            <w:r w:rsidRPr="00E64051">
              <w:rPr>
                <w:b/>
                <w:bCs/>
                <w:color w:val="auto"/>
                <w:sz w:val="20"/>
                <w:szCs w:val="20"/>
                <w:u w:val="none"/>
              </w:rPr>
              <w:t>Uwaga nieuwzględniona</w:t>
            </w:r>
            <w:r w:rsidR="005D61E2" w:rsidRPr="00E64051">
              <w:rPr>
                <w:b/>
                <w:bCs/>
                <w:color w:val="auto"/>
                <w:sz w:val="20"/>
                <w:szCs w:val="20"/>
                <w:u w:val="none"/>
              </w:rPr>
              <w:t xml:space="preserve"> </w:t>
            </w:r>
          </w:p>
          <w:p w14:paraId="6BB651DA" w14:textId="1EC1EAF2" w:rsidR="007A0549" w:rsidRPr="00E64051" w:rsidRDefault="007A0549" w:rsidP="00E64051">
            <w:pPr>
              <w:spacing w:after="0" w:line="276" w:lineRule="auto"/>
              <w:rPr>
                <w:sz w:val="20"/>
                <w:szCs w:val="20"/>
                <w:u w:val="none"/>
              </w:rPr>
            </w:pPr>
            <w:bookmarkStart w:id="1" w:name="_Hlk71710356"/>
            <w:r w:rsidRPr="00E64051">
              <w:rPr>
                <w:sz w:val="20"/>
                <w:szCs w:val="20"/>
                <w:u w:val="none"/>
              </w:rPr>
              <w:t xml:space="preserve">Za punkt wyjścia analizy </w:t>
            </w:r>
            <w:r w:rsidR="001A2C2D" w:rsidRPr="00E64051">
              <w:rPr>
                <w:sz w:val="20"/>
                <w:szCs w:val="20"/>
                <w:u w:val="none"/>
              </w:rPr>
              <w:t xml:space="preserve">zgłoszonej uwagi </w:t>
            </w:r>
            <w:r w:rsidRPr="00E64051">
              <w:rPr>
                <w:sz w:val="20"/>
                <w:szCs w:val="20"/>
                <w:u w:val="none"/>
              </w:rPr>
              <w:t xml:space="preserve">należy przyjąć ustalenia dotyczące wykonawczego charakteru rozporządzeń dokonane w szczególności w wyrokach Trybunału Konstytucyjnego z dnia 26 października 1999 r., K 12/99 i z dnia 9 listopada 1999 r., </w:t>
            </w:r>
            <w:r w:rsidRPr="00E64051">
              <w:rPr>
                <w:sz w:val="20"/>
                <w:szCs w:val="20"/>
                <w:u w:val="none"/>
                <w:lang w:val="de-DE"/>
              </w:rPr>
              <w:t xml:space="preserve">K 28/98. </w:t>
            </w:r>
            <w:r w:rsidRPr="00E64051">
              <w:rPr>
                <w:sz w:val="20"/>
                <w:szCs w:val="20"/>
                <w:u w:val="none"/>
              </w:rPr>
              <w:t>Trybunał wskazuje w tych orzeczeniach jakie wymagania muszą spełniać rozporządzenia zgodnie z art. 92 ust. 1 Konstytucji RP. Przepis ten dopuszcza stanowienie rozporządzeń tylko na podstawie „szczegółowego upoważnienia zawartego w ustawie i w celu jej wykonania”.</w:t>
            </w:r>
          </w:p>
          <w:p w14:paraId="38AA13EC" w14:textId="4232BB11" w:rsidR="007A0549" w:rsidRPr="00E64051" w:rsidRDefault="007A0549" w:rsidP="00E64051">
            <w:pPr>
              <w:spacing w:after="0" w:line="276" w:lineRule="auto"/>
              <w:rPr>
                <w:sz w:val="20"/>
                <w:szCs w:val="20"/>
                <w:u w:val="none"/>
              </w:rPr>
            </w:pPr>
            <w:r w:rsidRPr="00E64051">
              <w:rPr>
                <w:sz w:val="20"/>
                <w:szCs w:val="20"/>
                <w:u w:val="none"/>
              </w:rPr>
              <w:t>W wyroku z dnia 12 lipca 2007 r., U 7/06 Trybunał Konstytucyjny wskazał, iż rozporządzenie nie może uzupełniać ustawy, rozbudowywać przesłanek zrealizowania jakiejś normy prawnej, określonej w ustawie lub takich elementów procedury, które nie odpowiadają jej ustawowym założeniom.</w:t>
            </w:r>
          </w:p>
          <w:p w14:paraId="554612D8" w14:textId="73198F6A" w:rsidR="001A2C2D" w:rsidRPr="00E64051" w:rsidRDefault="00B80FC5" w:rsidP="00E64051">
            <w:pPr>
              <w:spacing w:after="200" w:line="276" w:lineRule="auto"/>
              <w:rPr>
                <w:sz w:val="20"/>
                <w:szCs w:val="20"/>
                <w:u w:val="none"/>
              </w:rPr>
            </w:pPr>
            <w:r w:rsidRPr="00E64051">
              <w:rPr>
                <w:sz w:val="20"/>
                <w:szCs w:val="20"/>
                <w:u w:val="none"/>
              </w:rPr>
              <w:t>W wyroku Trybunału Konstytucyjnego, o sygn. akt U 7/06, Trybunał wskazał</w:t>
            </w:r>
            <w:r w:rsidR="00E64051">
              <w:rPr>
                <w:sz w:val="20"/>
                <w:szCs w:val="20"/>
                <w:u w:val="none"/>
              </w:rPr>
              <w:t xml:space="preserve"> ponadto</w:t>
            </w:r>
            <w:r w:rsidRPr="00E64051">
              <w:rPr>
                <w:sz w:val="20"/>
                <w:szCs w:val="20"/>
                <w:u w:val="none"/>
              </w:rPr>
              <w:t>,</w:t>
            </w:r>
            <w:r w:rsidR="00E64051">
              <w:rPr>
                <w:sz w:val="20"/>
                <w:szCs w:val="20"/>
                <w:u w:val="none"/>
              </w:rPr>
              <w:t xml:space="preserve"> </w:t>
            </w:r>
            <w:r w:rsidRPr="00E64051">
              <w:rPr>
                <w:sz w:val="20"/>
                <w:szCs w:val="20"/>
                <w:u w:val="none"/>
              </w:rPr>
              <w:t>iż  racjonalność czy celowość wydania danej regulacji nie może usprawiedliwiać działania organu wydającego rozporządzenie, który wykracza poza upoważnienie i neguje wykonawczy charakter tego aktu</w:t>
            </w:r>
            <w:bookmarkEnd w:id="1"/>
            <w:r w:rsidRPr="00E64051">
              <w:rPr>
                <w:sz w:val="20"/>
                <w:szCs w:val="20"/>
                <w:u w:val="none"/>
              </w:rPr>
              <w:t>.</w:t>
            </w:r>
          </w:p>
          <w:p w14:paraId="16FFFEF6" w14:textId="2F6E0B7A" w:rsidR="00B229FF" w:rsidRPr="000579E8" w:rsidRDefault="001A2C2D" w:rsidP="000579E8">
            <w:pPr>
              <w:autoSpaceDE w:val="0"/>
              <w:autoSpaceDN w:val="0"/>
              <w:adjustRightInd w:val="0"/>
              <w:spacing w:after="0" w:line="276" w:lineRule="auto"/>
              <w:rPr>
                <w:rFonts w:eastAsiaTheme="minorHAnsi"/>
                <w:color w:val="auto"/>
                <w:sz w:val="20"/>
                <w:szCs w:val="20"/>
                <w:u w:val="none"/>
                <w:lang w:eastAsia="en-US"/>
              </w:rPr>
            </w:pPr>
            <w:bookmarkStart w:id="2" w:name="_Hlk71710377"/>
            <w:r w:rsidRPr="00E64051">
              <w:rPr>
                <w:sz w:val="20"/>
                <w:szCs w:val="20"/>
                <w:u w:val="none"/>
              </w:rPr>
              <w:t>Projektowane rozporządzenie jest wydawane na podstawie art. 131</w:t>
            </w:r>
            <w:r w:rsidRPr="00E64051">
              <w:rPr>
                <w:rStyle w:val="IGindeksgrny"/>
                <w:sz w:val="20"/>
                <w:szCs w:val="20"/>
                <w:u w:val="none"/>
              </w:rPr>
              <w:t>1</w:t>
            </w:r>
            <w:r w:rsidRPr="00E64051">
              <w:rPr>
                <w:sz w:val="20"/>
                <w:szCs w:val="20"/>
                <w:u w:val="none"/>
              </w:rPr>
              <w:t xml:space="preserve"> § 3 k.p.c. </w:t>
            </w:r>
            <w:r w:rsidR="00B80FC5" w:rsidRPr="00E64051">
              <w:rPr>
                <w:sz w:val="20"/>
                <w:szCs w:val="20"/>
                <w:u w:val="none"/>
              </w:rPr>
              <w:t xml:space="preserve"> Przepisy art. 131</w:t>
            </w:r>
            <w:r w:rsidR="00B80FC5" w:rsidRPr="00E64051">
              <w:rPr>
                <w:rStyle w:val="IGindeksgrny"/>
                <w:sz w:val="20"/>
                <w:szCs w:val="20"/>
                <w:u w:val="none"/>
              </w:rPr>
              <w:t>1</w:t>
            </w:r>
            <w:r w:rsidR="00B80FC5" w:rsidRPr="00E64051">
              <w:rPr>
                <w:sz w:val="20"/>
                <w:szCs w:val="20"/>
                <w:u w:val="none"/>
              </w:rPr>
              <w:t xml:space="preserve">  </w:t>
            </w:r>
            <w:r w:rsidR="00B80FC5" w:rsidRPr="00E64051">
              <w:rPr>
                <w:sz w:val="20"/>
                <w:szCs w:val="20"/>
                <w:u w:val="none"/>
              </w:rPr>
              <w:lastRenderedPageBreak/>
              <w:t>k.p.c. nie przewidują, aby w</w:t>
            </w:r>
            <w:r w:rsidR="00B80FC5" w:rsidRPr="00E64051">
              <w:rPr>
                <w:rFonts w:eastAsiaTheme="minorHAnsi"/>
                <w:color w:val="auto"/>
                <w:sz w:val="20"/>
                <w:szCs w:val="20"/>
                <w:u w:val="none"/>
                <w:lang w:eastAsia="en-US"/>
              </w:rPr>
              <w:t xml:space="preserve"> przypadku nieodebrania pisma w formie dokumentu elektronicznego sąd, po upływie</w:t>
            </w:r>
            <w:r w:rsidR="00E64051">
              <w:rPr>
                <w:rFonts w:eastAsiaTheme="minorHAnsi"/>
                <w:color w:val="auto"/>
                <w:sz w:val="20"/>
                <w:szCs w:val="20"/>
                <w:u w:val="none"/>
                <w:lang w:eastAsia="en-US"/>
              </w:rPr>
              <w:t xml:space="preserve"> </w:t>
            </w:r>
            <w:r w:rsidR="00B80FC5" w:rsidRPr="00E64051">
              <w:rPr>
                <w:rFonts w:eastAsiaTheme="minorHAnsi"/>
                <w:color w:val="auto"/>
                <w:sz w:val="20"/>
                <w:szCs w:val="20"/>
                <w:u w:val="none"/>
                <w:lang w:eastAsia="en-US"/>
              </w:rPr>
              <w:t>siedmiu dni, licząc od dnia wysłania zawiadomienia, przesyłał  powtórne zawiadomienie o możliwości</w:t>
            </w:r>
            <w:r w:rsidR="00E64051">
              <w:rPr>
                <w:rFonts w:eastAsiaTheme="minorHAnsi"/>
                <w:color w:val="auto"/>
                <w:sz w:val="20"/>
                <w:szCs w:val="20"/>
                <w:u w:val="none"/>
                <w:lang w:eastAsia="en-US"/>
              </w:rPr>
              <w:t xml:space="preserve"> </w:t>
            </w:r>
            <w:r w:rsidR="00B80FC5" w:rsidRPr="00E64051">
              <w:rPr>
                <w:rFonts w:eastAsiaTheme="minorHAnsi"/>
                <w:color w:val="auto"/>
                <w:sz w:val="20"/>
                <w:szCs w:val="20"/>
                <w:u w:val="none"/>
                <w:lang w:eastAsia="en-US"/>
              </w:rPr>
              <w:t>odebrania tego pisma</w:t>
            </w:r>
            <w:bookmarkEnd w:id="2"/>
            <w:r w:rsidR="000579E8">
              <w:rPr>
                <w:rFonts w:eastAsiaTheme="minorHAnsi"/>
                <w:color w:val="auto"/>
                <w:sz w:val="20"/>
                <w:szCs w:val="20"/>
                <w:u w:val="none"/>
                <w:lang w:eastAsia="en-US"/>
              </w:rPr>
              <w:t>.</w:t>
            </w:r>
            <w:bookmarkStart w:id="3" w:name="_GoBack"/>
            <w:bookmarkEnd w:id="3"/>
          </w:p>
        </w:tc>
      </w:tr>
      <w:tr w:rsidR="006C3293" w:rsidRPr="00E64051" w14:paraId="605864BB" w14:textId="77777777" w:rsidTr="007A0549">
        <w:trPr>
          <w:trHeight w:val="3046"/>
        </w:trPr>
        <w:tc>
          <w:tcPr>
            <w:tcW w:w="1418" w:type="dxa"/>
            <w:tcBorders>
              <w:top w:val="single" w:sz="4" w:space="0" w:color="000000"/>
              <w:left w:val="single" w:sz="4" w:space="0" w:color="000000"/>
              <w:bottom w:val="single" w:sz="4" w:space="0" w:color="000000"/>
              <w:right w:val="single" w:sz="4" w:space="0" w:color="000000"/>
            </w:tcBorders>
          </w:tcPr>
          <w:p w14:paraId="5D89E008" w14:textId="746340A7" w:rsidR="00093CB5" w:rsidRPr="00E64051" w:rsidRDefault="00514A8A" w:rsidP="00E64051">
            <w:pPr>
              <w:pStyle w:val="Default"/>
              <w:spacing w:line="276" w:lineRule="auto"/>
              <w:jc w:val="both"/>
              <w:rPr>
                <w:rFonts w:ascii="Times New Roman" w:hAnsi="Times New Roman" w:cs="Times New Roman"/>
                <w:b/>
                <w:bCs/>
                <w:sz w:val="20"/>
                <w:szCs w:val="20"/>
              </w:rPr>
            </w:pPr>
            <w:r w:rsidRPr="00E64051">
              <w:rPr>
                <w:rFonts w:ascii="Times New Roman" w:hAnsi="Times New Roman" w:cs="Times New Roman"/>
                <w:b/>
                <w:bCs/>
                <w:sz w:val="20"/>
                <w:szCs w:val="20"/>
              </w:rPr>
              <w:lastRenderedPageBreak/>
              <w:t>Centrum Kompetencji i Informatyzacji Sądownictwa</w:t>
            </w:r>
          </w:p>
          <w:p w14:paraId="4E276989" w14:textId="77777777" w:rsidR="00514A8A" w:rsidRPr="00E64051" w:rsidRDefault="00514A8A" w:rsidP="00E64051">
            <w:pPr>
              <w:pStyle w:val="Default"/>
              <w:spacing w:line="276" w:lineRule="auto"/>
              <w:jc w:val="both"/>
              <w:rPr>
                <w:rFonts w:ascii="Times New Roman" w:hAnsi="Times New Roman" w:cs="Times New Roman"/>
                <w:b/>
                <w:bCs/>
                <w:sz w:val="20"/>
                <w:szCs w:val="20"/>
              </w:rPr>
            </w:pPr>
            <w:r w:rsidRPr="00E64051">
              <w:rPr>
                <w:rFonts w:ascii="Times New Roman" w:hAnsi="Times New Roman" w:cs="Times New Roman"/>
                <w:b/>
                <w:bCs/>
                <w:sz w:val="20"/>
                <w:szCs w:val="20"/>
              </w:rPr>
              <w:t>Oddział Informatyczny</w:t>
            </w:r>
          </w:p>
          <w:p w14:paraId="3824551B" w14:textId="09F0C286" w:rsidR="00514A8A" w:rsidRPr="00E64051" w:rsidRDefault="00514A8A" w:rsidP="00E64051">
            <w:pPr>
              <w:pStyle w:val="Default"/>
              <w:spacing w:line="276" w:lineRule="auto"/>
              <w:jc w:val="both"/>
              <w:rPr>
                <w:rFonts w:ascii="Times New Roman" w:hAnsi="Times New Roman" w:cs="Times New Roman"/>
                <w:color w:val="auto"/>
                <w:sz w:val="20"/>
                <w:szCs w:val="20"/>
              </w:rPr>
            </w:pPr>
            <w:r w:rsidRPr="00E64051">
              <w:rPr>
                <w:rFonts w:ascii="Times New Roman" w:hAnsi="Times New Roman" w:cs="Times New Roman"/>
                <w:b/>
                <w:bCs/>
                <w:sz w:val="20"/>
                <w:szCs w:val="20"/>
              </w:rPr>
              <w:t>Sąd Apelacyjny we Wrocławiu</w:t>
            </w:r>
          </w:p>
        </w:tc>
        <w:tc>
          <w:tcPr>
            <w:tcW w:w="4736" w:type="dxa"/>
            <w:tcBorders>
              <w:top w:val="single" w:sz="4" w:space="0" w:color="000000"/>
              <w:left w:val="single" w:sz="4" w:space="0" w:color="000000"/>
              <w:bottom w:val="single" w:sz="4" w:space="0" w:color="000000"/>
              <w:right w:val="single" w:sz="4" w:space="0" w:color="000000"/>
            </w:tcBorders>
          </w:tcPr>
          <w:p w14:paraId="404FB9FB" w14:textId="497D8845" w:rsidR="00514A8A" w:rsidRPr="00E64051" w:rsidRDefault="00E97882" w:rsidP="00E64051">
            <w:pPr>
              <w:pStyle w:val="Default"/>
              <w:spacing w:line="276" w:lineRule="auto"/>
              <w:jc w:val="both"/>
              <w:rPr>
                <w:rFonts w:ascii="Times New Roman" w:hAnsi="Times New Roman" w:cs="Times New Roman"/>
                <w:sz w:val="20"/>
                <w:szCs w:val="20"/>
              </w:rPr>
            </w:pPr>
            <w:r>
              <w:rPr>
                <w:rFonts w:ascii="Times New Roman" w:hAnsi="Times New Roman" w:cs="Times New Roman"/>
                <w:b/>
                <w:bCs/>
                <w:sz w:val="20"/>
                <w:szCs w:val="20"/>
              </w:rPr>
              <w:t xml:space="preserve">1. </w:t>
            </w:r>
            <w:r w:rsidR="00514A8A" w:rsidRPr="00E64051">
              <w:rPr>
                <w:rFonts w:ascii="Times New Roman" w:hAnsi="Times New Roman" w:cs="Times New Roman"/>
                <w:b/>
                <w:bCs/>
                <w:sz w:val="20"/>
                <w:szCs w:val="20"/>
              </w:rPr>
              <w:t xml:space="preserve">§ 1 </w:t>
            </w:r>
            <w:r w:rsidR="00935397">
              <w:rPr>
                <w:rFonts w:ascii="Times New Roman" w:hAnsi="Times New Roman" w:cs="Times New Roman"/>
                <w:b/>
                <w:bCs/>
                <w:sz w:val="20"/>
                <w:szCs w:val="20"/>
              </w:rPr>
              <w:t xml:space="preserve">pkt 1 </w:t>
            </w:r>
            <w:r w:rsidR="00514A8A" w:rsidRPr="00E64051">
              <w:rPr>
                <w:rFonts w:ascii="Times New Roman" w:hAnsi="Times New Roman" w:cs="Times New Roman"/>
                <w:b/>
                <w:bCs/>
                <w:sz w:val="20"/>
                <w:szCs w:val="20"/>
              </w:rPr>
              <w:t xml:space="preserve"> lit a – c </w:t>
            </w:r>
          </w:p>
          <w:p w14:paraId="69CFCBB0" w14:textId="0D20CA60" w:rsidR="005753D7" w:rsidRDefault="00E97882" w:rsidP="00E64051">
            <w:pPr>
              <w:pStyle w:val="Default"/>
              <w:spacing w:line="276" w:lineRule="auto"/>
              <w:jc w:val="both"/>
              <w:rPr>
                <w:rFonts w:ascii="Times New Roman" w:hAnsi="Times New Roman" w:cs="Times New Roman"/>
                <w:sz w:val="20"/>
                <w:szCs w:val="20"/>
              </w:rPr>
            </w:pPr>
            <w:r>
              <w:rPr>
                <w:rFonts w:ascii="Times New Roman" w:hAnsi="Times New Roman" w:cs="Times New Roman"/>
                <w:sz w:val="20"/>
                <w:szCs w:val="20"/>
              </w:rPr>
              <w:t>a)</w:t>
            </w:r>
            <w:r w:rsidR="003F2AA6">
              <w:rPr>
                <w:rFonts w:ascii="Times New Roman" w:hAnsi="Times New Roman" w:cs="Times New Roman"/>
                <w:sz w:val="20"/>
                <w:szCs w:val="20"/>
              </w:rPr>
              <w:t xml:space="preserve"> </w:t>
            </w:r>
            <w:bookmarkStart w:id="4" w:name="_Hlk71708962"/>
            <w:r w:rsidR="005753D7" w:rsidRPr="00E64051">
              <w:rPr>
                <w:rFonts w:ascii="Times New Roman" w:hAnsi="Times New Roman" w:cs="Times New Roman"/>
                <w:sz w:val="20"/>
                <w:szCs w:val="20"/>
              </w:rPr>
              <w:t xml:space="preserve">w definicji </w:t>
            </w:r>
            <w:r w:rsidR="005753D7" w:rsidRPr="00E64051">
              <w:rPr>
                <w:rFonts w:ascii="Times New Roman" w:hAnsi="Times New Roman" w:cs="Times New Roman"/>
                <w:b/>
                <w:bCs/>
                <w:sz w:val="20"/>
                <w:szCs w:val="20"/>
              </w:rPr>
              <w:t>„konta”</w:t>
            </w:r>
            <w:r w:rsidR="005753D7" w:rsidRPr="00E64051">
              <w:rPr>
                <w:rFonts w:ascii="Times New Roman" w:hAnsi="Times New Roman" w:cs="Times New Roman"/>
                <w:sz w:val="20"/>
                <w:szCs w:val="20"/>
              </w:rPr>
              <w:t xml:space="preserve"> w zakresie zbioru danych identyfikujących użytkownika usunięto wymóg „przyporządkowania do tego użytkownika”. Opiniujący podkreśla, że konto zgodnie z rozporządzeniem tworzone jest dla osoby fizycznej, zatem zbiór danych nie tylko identyfikuje, ale również przyporządkowany jest do właściciela konta. </w:t>
            </w:r>
          </w:p>
          <w:p w14:paraId="28A3EB76" w14:textId="699CBF46" w:rsidR="007E34B8" w:rsidRDefault="007E34B8" w:rsidP="00E64051">
            <w:pPr>
              <w:pStyle w:val="Default"/>
              <w:spacing w:line="276" w:lineRule="auto"/>
              <w:jc w:val="both"/>
              <w:rPr>
                <w:rFonts w:ascii="Times New Roman" w:hAnsi="Times New Roman" w:cs="Times New Roman"/>
                <w:sz w:val="20"/>
                <w:szCs w:val="20"/>
              </w:rPr>
            </w:pPr>
          </w:p>
          <w:p w14:paraId="3D62D10C" w14:textId="77777777" w:rsidR="00BC516E" w:rsidRPr="00E64051" w:rsidRDefault="00BC516E" w:rsidP="00E64051">
            <w:pPr>
              <w:pStyle w:val="Default"/>
              <w:spacing w:line="276" w:lineRule="auto"/>
              <w:jc w:val="both"/>
              <w:rPr>
                <w:rFonts w:ascii="Times New Roman" w:hAnsi="Times New Roman" w:cs="Times New Roman"/>
                <w:sz w:val="20"/>
                <w:szCs w:val="20"/>
              </w:rPr>
            </w:pPr>
          </w:p>
          <w:p w14:paraId="63C61553" w14:textId="64E1765F" w:rsidR="005753D7" w:rsidRPr="00E64051" w:rsidRDefault="00912CA6" w:rsidP="00E64051">
            <w:pPr>
              <w:pStyle w:val="Default"/>
              <w:spacing w:line="276" w:lineRule="auto"/>
              <w:jc w:val="both"/>
              <w:rPr>
                <w:rFonts w:ascii="Times New Roman" w:hAnsi="Times New Roman" w:cs="Times New Roman"/>
                <w:sz w:val="20"/>
                <w:szCs w:val="20"/>
              </w:rPr>
            </w:pPr>
            <w:r>
              <w:rPr>
                <w:rFonts w:ascii="Times New Roman" w:hAnsi="Times New Roman" w:cs="Times New Roman"/>
                <w:sz w:val="20"/>
                <w:szCs w:val="20"/>
              </w:rPr>
              <w:t>b</w:t>
            </w:r>
            <w:r w:rsidR="00E97882">
              <w:rPr>
                <w:rFonts w:ascii="Times New Roman" w:hAnsi="Times New Roman" w:cs="Times New Roman"/>
                <w:sz w:val="20"/>
                <w:szCs w:val="20"/>
              </w:rPr>
              <w:t xml:space="preserve">) </w:t>
            </w:r>
            <w:r w:rsidR="005753D7" w:rsidRPr="00E64051">
              <w:rPr>
                <w:rFonts w:ascii="Times New Roman" w:hAnsi="Times New Roman" w:cs="Times New Roman"/>
                <w:sz w:val="20"/>
                <w:szCs w:val="20"/>
              </w:rPr>
              <w:t xml:space="preserve">zmiana definicji </w:t>
            </w:r>
            <w:r w:rsidR="005753D7" w:rsidRPr="007E34B8">
              <w:rPr>
                <w:rFonts w:ascii="Times New Roman" w:hAnsi="Times New Roman" w:cs="Times New Roman"/>
                <w:b/>
                <w:bCs/>
                <w:sz w:val="20"/>
                <w:szCs w:val="20"/>
              </w:rPr>
              <w:t>„uwierzytelnienia”</w:t>
            </w:r>
            <w:r w:rsidR="005753D7" w:rsidRPr="00E64051">
              <w:rPr>
                <w:rFonts w:ascii="Times New Roman" w:hAnsi="Times New Roman" w:cs="Times New Roman"/>
                <w:sz w:val="20"/>
                <w:szCs w:val="20"/>
              </w:rPr>
              <w:t xml:space="preserve"> również budzi wątpliwości. Po pierwsze sformułowaniem nieznanym na gruncie procedury cywilnej jest „proces elektroniczny”. Zatem niezrozumiałym jest zdefiniowanie typu ignotum per ignotum, że uwierzytelnieni jest „procesem elektronicznym”. Ponadto należy zwrócić uwagę, że uwierzytelnienie ma charakter dwuetapowy i obejmuje identyfikację oraz udostępnienie. Obecnie funkcjonująca definicja zdecydowanie lepiej oddaje istotę tego procesu i opiniujący nie doszukuje się uzasadnienia dla potrzeby zmian. </w:t>
            </w:r>
          </w:p>
          <w:bookmarkEnd w:id="4"/>
          <w:p w14:paraId="4577173F" w14:textId="77777777" w:rsidR="005753D7" w:rsidRPr="00E64051" w:rsidRDefault="005753D7" w:rsidP="00E64051">
            <w:pPr>
              <w:autoSpaceDE w:val="0"/>
              <w:autoSpaceDN w:val="0"/>
              <w:adjustRightInd w:val="0"/>
              <w:spacing w:after="0" w:line="276" w:lineRule="auto"/>
              <w:rPr>
                <w:b/>
                <w:bCs/>
                <w:sz w:val="20"/>
                <w:szCs w:val="20"/>
                <w:u w:val="none"/>
              </w:rPr>
            </w:pPr>
          </w:p>
          <w:p w14:paraId="190194C4" w14:textId="02A1F38A" w:rsidR="007E34B8" w:rsidRDefault="003A0F37" w:rsidP="00E64051">
            <w:pPr>
              <w:autoSpaceDE w:val="0"/>
              <w:autoSpaceDN w:val="0"/>
              <w:adjustRightInd w:val="0"/>
              <w:spacing w:after="0" w:line="276" w:lineRule="auto"/>
              <w:rPr>
                <w:sz w:val="20"/>
                <w:szCs w:val="20"/>
                <w:u w:val="none"/>
              </w:rPr>
            </w:pPr>
            <w:r>
              <w:rPr>
                <w:b/>
                <w:bCs/>
                <w:sz w:val="20"/>
                <w:szCs w:val="20"/>
                <w:u w:val="none"/>
              </w:rPr>
              <w:t xml:space="preserve">2. </w:t>
            </w:r>
            <w:bookmarkStart w:id="5" w:name="_Hlk71709292"/>
            <w:r w:rsidR="006841B7" w:rsidRPr="006841B7">
              <w:rPr>
                <w:b/>
                <w:bCs/>
                <w:sz w:val="20"/>
                <w:szCs w:val="20"/>
                <w:u w:val="none"/>
              </w:rPr>
              <w:t>§ 1</w:t>
            </w:r>
            <w:r w:rsidR="00935397">
              <w:rPr>
                <w:b/>
                <w:bCs/>
                <w:sz w:val="20"/>
                <w:szCs w:val="20"/>
                <w:u w:val="none"/>
              </w:rPr>
              <w:t xml:space="preserve"> pkt</w:t>
            </w:r>
            <w:r w:rsidR="005753D7" w:rsidRPr="006841B7">
              <w:rPr>
                <w:b/>
                <w:bCs/>
                <w:sz w:val="20"/>
                <w:szCs w:val="20"/>
                <w:u w:val="none"/>
              </w:rPr>
              <w:t xml:space="preserve"> 2</w:t>
            </w:r>
            <w:r w:rsidR="005753D7" w:rsidRPr="00E64051">
              <w:rPr>
                <w:b/>
                <w:bCs/>
                <w:sz w:val="20"/>
                <w:szCs w:val="20"/>
                <w:u w:val="none"/>
              </w:rPr>
              <w:t xml:space="preserve"> </w:t>
            </w:r>
            <w:r w:rsidR="005753D7" w:rsidRPr="00E64051">
              <w:rPr>
                <w:sz w:val="20"/>
                <w:szCs w:val="20"/>
                <w:u w:val="none"/>
              </w:rPr>
              <w:t xml:space="preserve">Opiniujący, aczkolwiek nie dotyczy to bezpośrednio treści opiniowanego Projektu, wyraża wątpliwości, co do koncepcji, że osoba fizyczna może mieć więcej niż jedno konto w systemie teleinformatycznym obsługującym dane postepowanie sądowe (oczywiście z uwagi na brak integracji wszystkich systemów teleinformatycznych obsługujących postępowania sądowe użytkownicy mają odrębne konta dla danego postępowania, np. w EPU, EPW lub w Portalu Informacyjnym). </w:t>
            </w:r>
          </w:p>
          <w:p w14:paraId="380CEB30" w14:textId="1ABE7E57" w:rsidR="005753D7" w:rsidRPr="00E64051" w:rsidRDefault="005753D7" w:rsidP="00E64051">
            <w:pPr>
              <w:autoSpaceDE w:val="0"/>
              <w:autoSpaceDN w:val="0"/>
              <w:adjustRightInd w:val="0"/>
              <w:spacing w:after="0" w:line="276" w:lineRule="auto"/>
              <w:rPr>
                <w:sz w:val="20"/>
                <w:szCs w:val="20"/>
                <w:u w:val="none"/>
              </w:rPr>
            </w:pPr>
            <w:r w:rsidRPr="00E64051">
              <w:rPr>
                <w:sz w:val="20"/>
                <w:szCs w:val="20"/>
                <w:u w:val="none"/>
              </w:rPr>
              <w:t xml:space="preserve">Podkreślić należy, że posiadanie dostępu – w duchu rozporządzenia w sprawie trybu zakładania i udostępniania konta oraz sposobu korzystania i zamykania konta w systemie teleinformatycznym obsługującym postępowanie sądowe – do kilku kont, nie oznacza, że osoba fizyczna posiada więcej niż jedno konto, bowiem w takiej sytuacji konto przypisane jest do innego podmiotu, który jest samodzielną stroną w </w:t>
            </w:r>
            <w:r w:rsidRPr="00E64051">
              <w:rPr>
                <w:sz w:val="20"/>
                <w:szCs w:val="20"/>
                <w:u w:val="none"/>
              </w:rPr>
              <w:lastRenderedPageBreak/>
              <w:t>procesie. Niezależnie od powyższego, założenie, że osoba fizyczna (identyfikująca się jednym numerem PESEL) miałaby mieć wiele kont w zależności od roli jaką pełni. Taka koncepcja spowoduje daleko idące konsekwencje w zakresie zapewnienia sprawności obsługi procesu doręczeń elektronicznych czy też udostępniania akt. konto osoby fizycznej powinno być jedno, tak jak to było dotychczas, a jedynie zakres posiadanych uprawnień (dostępów) powinien stanowić konsekwencje pełnionej roli w procesie. Tym samym niezrozumiały jest argument o trudnościach z określeniem właściwego konta strony/uczestnika postępowania na potrzeby realizacji doręczeń elektronicznych. Brak jest również uzasadnienia dla usunięcia sformułowania, że umieszczenie pisma powinno nastąpić „w sposób umożliwiający użytkownikowi zapoznanie się z jego treścią”.</w:t>
            </w:r>
          </w:p>
          <w:bookmarkEnd w:id="5"/>
          <w:p w14:paraId="47C823F4" w14:textId="77777777" w:rsidR="005753D7" w:rsidRPr="00E64051" w:rsidRDefault="005753D7" w:rsidP="00E64051">
            <w:pPr>
              <w:autoSpaceDE w:val="0"/>
              <w:autoSpaceDN w:val="0"/>
              <w:adjustRightInd w:val="0"/>
              <w:spacing w:after="0" w:line="276" w:lineRule="auto"/>
              <w:rPr>
                <w:b/>
                <w:bCs/>
                <w:sz w:val="20"/>
                <w:szCs w:val="20"/>
                <w:u w:val="none"/>
              </w:rPr>
            </w:pPr>
          </w:p>
          <w:p w14:paraId="745F978E" w14:textId="6A0236FD" w:rsidR="007E34B8" w:rsidRDefault="0075159C" w:rsidP="00E64051">
            <w:pPr>
              <w:autoSpaceDE w:val="0"/>
              <w:autoSpaceDN w:val="0"/>
              <w:adjustRightInd w:val="0"/>
              <w:spacing w:after="0" w:line="276" w:lineRule="auto"/>
              <w:rPr>
                <w:sz w:val="20"/>
                <w:szCs w:val="20"/>
                <w:u w:val="none"/>
              </w:rPr>
            </w:pPr>
            <w:r>
              <w:rPr>
                <w:b/>
                <w:bCs/>
                <w:sz w:val="20"/>
                <w:szCs w:val="20"/>
                <w:u w:val="none"/>
              </w:rPr>
              <w:t xml:space="preserve">3. </w:t>
            </w:r>
            <w:bookmarkStart w:id="6" w:name="_Hlk71709659"/>
            <w:r w:rsidR="006841B7" w:rsidRPr="006841B7">
              <w:rPr>
                <w:b/>
                <w:bCs/>
                <w:sz w:val="20"/>
                <w:szCs w:val="20"/>
                <w:u w:val="none"/>
              </w:rPr>
              <w:t xml:space="preserve">§ 1 </w:t>
            </w:r>
            <w:r w:rsidR="00935397">
              <w:rPr>
                <w:b/>
                <w:bCs/>
                <w:sz w:val="20"/>
                <w:szCs w:val="20"/>
                <w:u w:val="none"/>
              </w:rPr>
              <w:t>pkt</w:t>
            </w:r>
            <w:r w:rsidR="005753D7" w:rsidRPr="00E64051">
              <w:rPr>
                <w:b/>
                <w:bCs/>
                <w:sz w:val="20"/>
                <w:szCs w:val="20"/>
                <w:u w:val="none"/>
              </w:rPr>
              <w:t xml:space="preserve"> 3  </w:t>
            </w:r>
            <w:r w:rsidR="005753D7" w:rsidRPr="00E64051">
              <w:rPr>
                <w:sz w:val="20"/>
                <w:szCs w:val="20"/>
                <w:u w:val="none"/>
              </w:rPr>
              <w:t>Nie jest zrozumiałym rezygnacja z EPO w zmienionym ust. 1 § 4, w sytuacji, gdy ust. 1a i ust. 2 posługuje się już terminem EPO. Tym samym EPO pozostaje, co należy uznać za pożądane, zatem w ust. 1 powinno zostać przywrócone zamiast „prezentowana jest data odbioru” „umieszczane jest automatycznie EPO”.</w:t>
            </w:r>
          </w:p>
          <w:p w14:paraId="50D9C6B9" w14:textId="16538C27" w:rsidR="005753D7" w:rsidRDefault="005753D7" w:rsidP="00E64051">
            <w:pPr>
              <w:autoSpaceDE w:val="0"/>
              <w:autoSpaceDN w:val="0"/>
              <w:adjustRightInd w:val="0"/>
              <w:spacing w:after="0" w:line="276" w:lineRule="auto"/>
              <w:rPr>
                <w:sz w:val="20"/>
                <w:szCs w:val="20"/>
                <w:u w:val="none"/>
              </w:rPr>
            </w:pPr>
            <w:r w:rsidRPr="00E64051">
              <w:rPr>
                <w:sz w:val="20"/>
                <w:szCs w:val="20"/>
                <w:u w:val="none"/>
              </w:rPr>
              <w:t xml:space="preserve"> I uwaga druga, analogicznie jak wskazano powyżej różnice dotyczące postępowania rejestrowego powinny być umieszczone w odrębnym paragrafie.</w:t>
            </w:r>
          </w:p>
          <w:bookmarkEnd w:id="6"/>
          <w:p w14:paraId="44A6D805" w14:textId="77777777" w:rsidR="006841B7" w:rsidRPr="00E64051" w:rsidRDefault="006841B7" w:rsidP="00E64051">
            <w:pPr>
              <w:autoSpaceDE w:val="0"/>
              <w:autoSpaceDN w:val="0"/>
              <w:adjustRightInd w:val="0"/>
              <w:spacing w:after="0" w:line="276" w:lineRule="auto"/>
              <w:rPr>
                <w:sz w:val="20"/>
                <w:szCs w:val="20"/>
                <w:u w:val="none"/>
              </w:rPr>
            </w:pPr>
          </w:p>
          <w:p w14:paraId="7AC87B07" w14:textId="20E3C556" w:rsidR="005753D7" w:rsidRDefault="005753D7" w:rsidP="00E64051">
            <w:pPr>
              <w:autoSpaceDE w:val="0"/>
              <w:autoSpaceDN w:val="0"/>
              <w:adjustRightInd w:val="0"/>
              <w:spacing w:after="0" w:line="276" w:lineRule="auto"/>
              <w:rPr>
                <w:sz w:val="20"/>
                <w:szCs w:val="20"/>
                <w:u w:val="none"/>
              </w:rPr>
            </w:pPr>
          </w:p>
          <w:p w14:paraId="5D163906" w14:textId="77777777" w:rsidR="008E7407" w:rsidRPr="00E64051" w:rsidRDefault="008E7407" w:rsidP="00E64051">
            <w:pPr>
              <w:autoSpaceDE w:val="0"/>
              <w:autoSpaceDN w:val="0"/>
              <w:adjustRightInd w:val="0"/>
              <w:spacing w:after="0" w:line="276" w:lineRule="auto"/>
              <w:rPr>
                <w:sz w:val="20"/>
                <w:szCs w:val="20"/>
                <w:u w:val="none"/>
              </w:rPr>
            </w:pPr>
          </w:p>
          <w:p w14:paraId="3CF87D18" w14:textId="582853EB" w:rsidR="005753D7" w:rsidRDefault="006841B7" w:rsidP="00E64051">
            <w:pPr>
              <w:autoSpaceDE w:val="0"/>
              <w:autoSpaceDN w:val="0"/>
              <w:adjustRightInd w:val="0"/>
              <w:spacing w:after="0" w:line="276" w:lineRule="auto"/>
              <w:rPr>
                <w:sz w:val="20"/>
                <w:szCs w:val="20"/>
                <w:u w:val="none"/>
              </w:rPr>
            </w:pPr>
            <w:bookmarkStart w:id="7" w:name="_Hlk71709877"/>
            <w:r>
              <w:rPr>
                <w:b/>
                <w:bCs/>
                <w:sz w:val="20"/>
                <w:szCs w:val="20"/>
                <w:u w:val="none"/>
              </w:rPr>
              <w:t xml:space="preserve">4. </w:t>
            </w:r>
            <w:r w:rsidRPr="006841B7">
              <w:rPr>
                <w:b/>
                <w:bCs/>
                <w:sz w:val="20"/>
                <w:szCs w:val="20"/>
                <w:u w:val="none"/>
              </w:rPr>
              <w:t xml:space="preserve">§ 1 </w:t>
            </w:r>
            <w:r w:rsidR="00935397">
              <w:rPr>
                <w:b/>
                <w:bCs/>
                <w:sz w:val="20"/>
                <w:szCs w:val="20"/>
                <w:u w:val="none"/>
              </w:rPr>
              <w:t>pkt</w:t>
            </w:r>
            <w:r w:rsidR="005753D7" w:rsidRPr="00E64051">
              <w:rPr>
                <w:b/>
                <w:bCs/>
                <w:sz w:val="20"/>
                <w:szCs w:val="20"/>
                <w:u w:val="none"/>
              </w:rPr>
              <w:t xml:space="preserve"> 4  </w:t>
            </w:r>
            <w:r w:rsidR="005753D7" w:rsidRPr="00E64051">
              <w:rPr>
                <w:sz w:val="20"/>
                <w:szCs w:val="20"/>
                <w:u w:val="none"/>
              </w:rPr>
              <w:t>W warstwie językowej Kodeks postępowania cywilnego posługuje się terminem „poucza”. Niezrozumiałym jest i błędnym zastąpienie sformułowania „poucza” terminem „informuje”.</w:t>
            </w:r>
          </w:p>
          <w:p w14:paraId="3D25EDB9" w14:textId="731DB08A" w:rsidR="003A5CE1" w:rsidRDefault="003A5CE1" w:rsidP="00E64051">
            <w:pPr>
              <w:autoSpaceDE w:val="0"/>
              <w:autoSpaceDN w:val="0"/>
              <w:adjustRightInd w:val="0"/>
              <w:spacing w:after="0" w:line="276" w:lineRule="auto"/>
              <w:rPr>
                <w:sz w:val="20"/>
                <w:szCs w:val="20"/>
                <w:u w:val="none"/>
              </w:rPr>
            </w:pPr>
          </w:p>
          <w:p w14:paraId="550A9245" w14:textId="119A4FE3" w:rsidR="003A5CE1" w:rsidRDefault="003A5CE1" w:rsidP="00E64051">
            <w:pPr>
              <w:autoSpaceDE w:val="0"/>
              <w:autoSpaceDN w:val="0"/>
              <w:adjustRightInd w:val="0"/>
              <w:spacing w:after="0" w:line="276" w:lineRule="auto"/>
              <w:rPr>
                <w:sz w:val="20"/>
                <w:szCs w:val="20"/>
                <w:u w:val="none"/>
              </w:rPr>
            </w:pPr>
          </w:p>
          <w:p w14:paraId="67F783BD" w14:textId="1D85E66B" w:rsidR="003A5CE1" w:rsidRDefault="003A5CE1" w:rsidP="00E64051">
            <w:pPr>
              <w:autoSpaceDE w:val="0"/>
              <w:autoSpaceDN w:val="0"/>
              <w:adjustRightInd w:val="0"/>
              <w:spacing w:after="0" w:line="276" w:lineRule="auto"/>
              <w:rPr>
                <w:sz w:val="20"/>
                <w:szCs w:val="20"/>
                <w:u w:val="none"/>
              </w:rPr>
            </w:pPr>
          </w:p>
          <w:p w14:paraId="34E55AE8" w14:textId="5DDD4D6C" w:rsidR="003A5CE1" w:rsidRDefault="003A5CE1" w:rsidP="00E64051">
            <w:pPr>
              <w:autoSpaceDE w:val="0"/>
              <w:autoSpaceDN w:val="0"/>
              <w:adjustRightInd w:val="0"/>
              <w:spacing w:after="0" w:line="276" w:lineRule="auto"/>
              <w:rPr>
                <w:sz w:val="20"/>
                <w:szCs w:val="20"/>
                <w:u w:val="none"/>
              </w:rPr>
            </w:pPr>
          </w:p>
          <w:p w14:paraId="0DF00B98" w14:textId="20AC1BEF" w:rsidR="003A5CE1" w:rsidRDefault="003A5CE1" w:rsidP="00E64051">
            <w:pPr>
              <w:autoSpaceDE w:val="0"/>
              <w:autoSpaceDN w:val="0"/>
              <w:adjustRightInd w:val="0"/>
              <w:spacing w:after="0" w:line="276" w:lineRule="auto"/>
              <w:rPr>
                <w:sz w:val="20"/>
                <w:szCs w:val="20"/>
                <w:u w:val="none"/>
              </w:rPr>
            </w:pPr>
          </w:p>
          <w:p w14:paraId="05B855A0" w14:textId="0BB99EA4" w:rsidR="004658B8" w:rsidRDefault="004658B8" w:rsidP="00E64051">
            <w:pPr>
              <w:autoSpaceDE w:val="0"/>
              <w:autoSpaceDN w:val="0"/>
              <w:adjustRightInd w:val="0"/>
              <w:spacing w:after="0" w:line="276" w:lineRule="auto"/>
              <w:rPr>
                <w:sz w:val="20"/>
                <w:szCs w:val="20"/>
                <w:u w:val="none"/>
              </w:rPr>
            </w:pPr>
          </w:p>
          <w:p w14:paraId="6B079FF0" w14:textId="1E8FBA64" w:rsidR="004658B8" w:rsidRDefault="004658B8" w:rsidP="00E64051">
            <w:pPr>
              <w:autoSpaceDE w:val="0"/>
              <w:autoSpaceDN w:val="0"/>
              <w:adjustRightInd w:val="0"/>
              <w:spacing w:after="0" w:line="276" w:lineRule="auto"/>
              <w:rPr>
                <w:sz w:val="20"/>
                <w:szCs w:val="20"/>
                <w:u w:val="none"/>
              </w:rPr>
            </w:pPr>
          </w:p>
          <w:p w14:paraId="0AEE6014" w14:textId="75E89942" w:rsidR="004658B8" w:rsidRDefault="004658B8" w:rsidP="00E64051">
            <w:pPr>
              <w:autoSpaceDE w:val="0"/>
              <w:autoSpaceDN w:val="0"/>
              <w:adjustRightInd w:val="0"/>
              <w:spacing w:after="0" w:line="276" w:lineRule="auto"/>
              <w:rPr>
                <w:sz w:val="20"/>
                <w:szCs w:val="20"/>
                <w:u w:val="none"/>
              </w:rPr>
            </w:pPr>
          </w:p>
          <w:p w14:paraId="774C6971" w14:textId="4976069E" w:rsidR="004658B8" w:rsidRDefault="004658B8" w:rsidP="00E64051">
            <w:pPr>
              <w:autoSpaceDE w:val="0"/>
              <w:autoSpaceDN w:val="0"/>
              <w:adjustRightInd w:val="0"/>
              <w:spacing w:after="0" w:line="276" w:lineRule="auto"/>
              <w:rPr>
                <w:sz w:val="20"/>
                <w:szCs w:val="20"/>
                <w:u w:val="none"/>
              </w:rPr>
            </w:pPr>
          </w:p>
          <w:p w14:paraId="4FE8AAE6" w14:textId="77777777" w:rsidR="004658B8" w:rsidRPr="00E64051" w:rsidRDefault="004658B8" w:rsidP="00E64051">
            <w:pPr>
              <w:autoSpaceDE w:val="0"/>
              <w:autoSpaceDN w:val="0"/>
              <w:adjustRightInd w:val="0"/>
              <w:spacing w:after="0" w:line="276" w:lineRule="auto"/>
              <w:rPr>
                <w:sz w:val="20"/>
                <w:szCs w:val="20"/>
                <w:u w:val="none"/>
              </w:rPr>
            </w:pPr>
          </w:p>
          <w:p w14:paraId="6549DDEA" w14:textId="77777777" w:rsidR="00C661F4" w:rsidRPr="00E64051" w:rsidRDefault="00C661F4" w:rsidP="00E64051">
            <w:pPr>
              <w:autoSpaceDE w:val="0"/>
              <w:autoSpaceDN w:val="0"/>
              <w:adjustRightInd w:val="0"/>
              <w:spacing w:after="0" w:line="276" w:lineRule="auto"/>
              <w:rPr>
                <w:sz w:val="20"/>
                <w:szCs w:val="20"/>
                <w:u w:val="none"/>
              </w:rPr>
            </w:pPr>
          </w:p>
          <w:p w14:paraId="646E13B0" w14:textId="73755281" w:rsidR="00C661F4" w:rsidRPr="00E64051" w:rsidRDefault="00935397" w:rsidP="00E64051">
            <w:pPr>
              <w:pStyle w:val="Default"/>
              <w:spacing w:line="276" w:lineRule="auto"/>
              <w:jc w:val="both"/>
              <w:rPr>
                <w:rFonts w:ascii="Times New Roman" w:hAnsi="Times New Roman" w:cs="Times New Roman"/>
                <w:sz w:val="20"/>
                <w:szCs w:val="20"/>
              </w:rPr>
            </w:pPr>
            <w:r>
              <w:rPr>
                <w:rFonts w:ascii="Times New Roman" w:hAnsi="Times New Roman" w:cs="Times New Roman"/>
                <w:b/>
                <w:bCs/>
                <w:sz w:val="20"/>
                <w:szCs w:val="20"/>
              </w:rPr>
              <w:t xml:space="preserve">5. </w:t>
            </w:r>
            <w:bookmarkStart w:id="8" w:name="_Hlk71710048"/>
            <w:r w:rsidRPr="006841B7">
              <w:rPr>
                <w:rFonts w:ascii="Times New Roman" w:hAnsi="Times New Roman" w:cs="Times New Roman"/>
                <w:b/>
                <w:bCs/>
                <w:sz w:val="20"/>
                <w:szCs w:val="20"/>
              </w:rPr>
              <w:t>§ 1</w:t>
            </w:r>
            <w:r>
              <w:rPr>
                <w:rFonts w:ascii="Times New Roman" w:hAnsi="Times New Roman" w:cs="Times New Roman"/>
                <w:b/>
                <w:bCs/>
                <w:sz w:val="20"/>
                <w:szCs w:val="20"/>
              </w:rPr>
              <w:t xml:space="preserve"> pkt</w:t>
            </w:r>
            <w:r w:rsidR="00C661F4" w:rsidRPr="00E64051">
              <w:rPr>
                <w:rFonts w:ascii="Times New Roman" w:hAnsi="Times New Roman" w:cs="Times New Roman"/>
                <w:b/>
                <w:bCs/>
                <w:sz w:val="20"/>
                <w:szCs w:val="20"/>
              </w:rPr>
              <w:t xml:space="preserve"> 5  </w:t>
            </w:r>
            <w:r w:rsidR="00C661F4" w:rsidRPr="00E64051">
              <w:rPr>
                <w:rFonts w:ascii="Times New Roman" w:hAnsi="Times New Roman" w:cs="Times New Roman"/>
                <w:sz w:val="20"/>
                <w:szCs w:val="20"/>
              </w:rPr>
              <w:t xml:space="preserve">Rozporządzenie posługuje się terminem „użytkownik”, a nie „adresat”. </w:t>
            </w:r>
          </w:p>
          <w:p w14:paraId="64E1B26A" w14:textId="6DF62F63" w:rsidR="00C661F4" w:rsidRPr="00E64051" w:rsidRDefault="00C661F4" w:rsidP="00E64051">
            <w:pPr>
              <w:autoSpaceDE w:val="0"/>
              <w:autoSpaceDN w:val="0"/>
              <w:adjustRightInd w:val="0"/>
              <w:spacing w:after="0" w:line="276" w:lineRule="auto"/>
              <w:rPr>
                <w:rFonts w:eastAsiaTheme="minorHAnsi"/>
                <w:b/>
                <w:bCs/>
                <w:color w:val="auto"/>
                <w:sz w:val="20"/>
                <w:szCs w:val="20"/>
                <w:u w:val="none"/>
                <w:lang w:eastAsia="en-US"/>
              </w:rPr>
            </w:pPr>
            <w:r w:rsidRPr="00E64051">
              <w:rPr>
                <w:sz w:val="20"/>
                <w:szCs w:val="20"/>
                <w:u w:val="none"/>
              </w:rPr>
              <w:t>Niezależnie od powyższego wskazać należy, że § 6 jest właściwy, by w nim uregulować odrębności właściwe dla postępowania rejestrowego.</w:t>
            </w:r>
            <w:bookmarkEnd w:id="7"/>
            <w:bookmarkEnd w:id="8"/>
          </w:p>
        </w:tc>
        <w:tc>
          <w:tcPr>
            <w:tcW w:w="4336" w:type="dxa"/>
            <w:tcBorders>
              <w:top w:val="single" w:sz="4" w:space="0" w:color="000000"/>
              <w:left w:val="single" w:sz="4" w:space="0" w:color="000000"/>
              <w:bottom w:val="single" w:sz="4" w:space="0" w:color="000000"/>
              <w:right w:val="single" w:sz="4" w:space="0" w:color="000000"/>
            </w:tcBorders>
          </w:tcPr>
          <w:p w14:paraId="726C8B79" w14:textId="332445B9" w:rsidR="00D74249" w:rsidRPr="00BB4A24" w:rsidRDefault="00D74249" w:rsidP="00BB4A24">
            <w:pPr>
              <w:spacing w:after="0" w:line="276" w:lineRule="auto"/>
              <w:rPr>
                <w:b/>
                <w:bCs/>
                <w:color w:val="auto"/>
                <w:sz w:val="20"/>
                <w:szCs w:val="20"/>
                <w:u w:val="none"/>
              </w:rPr>
            </w:pPr>
            <w:r w:rsidRPr="00BB4A24">
              <w:rPr>
                <w:b/>
                <w:bCs/>
                <w:color w:val="auto"/>
                <w:sz w:val="20"/>
                <w:szCs w:val="20"/>
                <w:u w:val="none"/>
              </w:rPr>
              <w:lastRenderedPageBreak/>
              <w:t xml:space="preserve">Ad. </w:t>
            </w:r>
            <w:r w:rsidR="003A0F37" w:rsidRPr="00BB4A24">
              <w:rPr>
                <w:b/>
                <w:bCs/>
                <w:color w:val="auto"/>
                <w:sz w:val="20"/>
                <w:szCs w:val="20"/>
                <w:u w:val="none"/>
              </w:rPr>
              <w:t xml:space="preserve">1 </w:t>
            </w:r>
            <w:r w:rsidR="00912CA6">
              <w:rPr>
                <w:b/>
                <w:bCs/>
                <w:color w:val="auto"/>
                <w:sz w:val="20"/>
                <w:szCs w:val="20"/>
                <w:u w:val="none"/>
              </w:rPr>
              <w:t>a</w:t>
            </w:r>
            <w:r w:rsidR="003A0F37" w:rsidRPr="00BB4A24">
              <w:rPr>
                <w:b/>
                <w:bCs/>
                <w:color w:val="auto"/>
                <w:sz w:val="20"/>
                <w:szCs w:val="20"/>
                <w:u w:val="none"/>
              </w:rPr>
              <w:t xml:space="preserve">. </w:t>
            </w:r>
            <w:r w:rsidRPr="00BB4A24">
              <w:rPr>
                <w:b/>
                <w:bCs/>
                <w:color w:val="auto"/>
                <w:sz w:val="20"/>
                <w:szCs w:val="20"/>
                <w:u w:val="none"/>
              </w:rPr>
              <w:t>Uwaga nieuwzględniona</w:t>
            </w:r>
          </w:p>
          <w:p w14:paraId="4788A7CE" w14:textId="470017C5" w:rsidR="00D74249" w:rsidRPr="00BB4A24" w:rsidRDefault="00D74249" w:rsidP="00BB4A24">
            <w:pPr>
              <w:spacing w:after="0" w:line="276" w:lineRule="auto"/>
              <w:rPr>
                <w:color w:val="auto"/>
                <w:sz w:val="20"/>
                <w:szCs w:val="20"/>
                <w:u w:val="none"/>
              </w:rPr>
            </w:pPr>
            <w:bookmarkStart w:id="9" w:name="_Hlk71709049"/>
            <w:r w:rsidRPr="00BB4A24">
              <w:rPr>
                <w:color w:val="auto"/>
                <w:sz w:val="20"/>
                <w:szCs w:val="20"/>
                <w:u w:val="none"/>
              </w:rPr>
              <w:t>Z treści proponowanej definicji konta jednoznacznie wynika, że skoro zbiór danych identyfikuje użytkownika</w:t>
            </w:r>
            <w:r w:rsidR="00A16A39" w:rsidRPr="00BB4A24">
              <w:rPr>
                <w:color w:val="auto"/>
                <w:sz w:val="20"/>
                <w:szCs w:val="20"/>
                <w:u w:val="none"/>
              </w:rPr>
              <w:t xml:space="preserve"> (wraz z przyporządkowanymi zasobami systemu teleinformatycznego)</w:t>
            </w:r>
            <w:r w:rsidRPr="00BB4A24">
              <w:rPr>
                <w:color w:val="auto"/>
                <w:sz w:val="20"/>
                <w:szCs w:val="20"/>
                <w:u w:val="none"/>
              </w:rPr>
              <w:t xml:space="preserve">, to z samego tego faktu wynika, że jest to przyporządkowane do </w:t>
            </w:r>
            <w:r w:rsidR="00A16A39" w:rsidRPr="00BB4A24">
              <w:rPr>
                <w:color w:val="auto"/>
                <w:sz w:val="20"/>
                <w:szCs w:val="20"/>
                <w:u w:val="none"/>
              </w:rPr>
              <w:t>konkretnego</w:t>
            </w:r>
            <w:r w:rsidRPr="00BB4A24">
              <w:rPr>
                <w:color w:val="auto"/>
                <w:sz w:val="20"/>
                <w:szCs w:val="20"/>
                <w:u w:val="none"/>
              </w:rPr>
              <w:t xml:space="preserve"> użytkownika</w:t>
            </w:r>
            <w:r w:rsidR="00BC516E" w:rsidRPr="00BB4A24">
              <w:rPr>
                <w:color w:val="auto"/>
                <w:sz w:val="20"/>
                <w:szCs w:val="20"/>
                <w:u w:val="none"/>
              </w:rPr>
              <w:t xml:space="preserve"> (konkretnej osoby fizycznej).</w:t>
            </w:r>
            <w:r w:rsidRPr="00BB4A24">
              <w:rPr>
                <w:color w:val="auto"/>
                <w:sz w:val="20"/>
                <w:szCs w:val="20"/>
                <w:u w:val="none"/>
              </w:rPr>
              <w:t xml:space="preserve"> </w:t>
            </w:r>
          </w:p>
          <w:bookmarkEnd w:id="9"/>
          <w:p w14:paraId="727C1713" w14:textId="3886FB05" w:rsidR="00A16A39" w:rsidRDefault="00A16A39" w:rsidP="00BB4A24">
            <w:pPr>
              <w:spacing w:after="0" w:line="276" w:lineRule="auto"/>
              <w:rPr>
                <w:color w:val="auto"/>
                <w:sz w:val="20"/>
                <w:szCs w:val="20"/>
                <w:u w:val="none"/>
              </w:rPr>
            </w:pPr>
          </w:p>
          <w:p w14:paraId="2D58C6DC" w14:textId="77777777" w:rsidR="00912CA6" w:rsidRPr="00BB4A24" w:rsidRDefault="00912CA6" w:rsidP="00BB4A24">
            <w:pPr>
              <w:spacing w:after="0" w:line="276" w:lineRule="auto"/>
              <w:rPr>
                <w:color w:val="auto"/>
                <w:sz w:val="20"/>
                <w:szCs w:val="20"/>
                <w:u w:val="none"/>
              </w:rPr>
            </w:pPr>
          </w:p>
          <w:p w14:paraId="4EEFBD1D" w14:textId="236C3368" w:rsidR="00A16A39" w:rsidRPr="00BB4A24" w:rsidRDefault="00A16A39" w:rsidP="00BB4A24">
            <w:pPr>
              <w:spacing w:after="0" w:line="276" w:lineRule="auto"/>
              <w:rPr>
                <w:b/>
                <w:bCs/>
                <w:color w:val="auto"/>
                <w:sz w:val="20"/>
                <w:szCs w:val="20"/>
                <w:u w:val="none"/>
              </w:rPr>
            </w:pPr>
            <w:r w:rsidRPr="00BB4A24">
              <w:rPr>
                <w:b/>
                <w:bCs/>
                <w:color w:val="auto"/>
                <w:sz w:val="20"/>
                <w:szCs w:val="20"/>
                <w:u w:val="none"/>
              </w:rPr>
              <w:t xml:space="preserve">Ad. </w:t>
            </w:r>
            <w:r w:rsidR="003A0F37" w:rsidRPr="00BB4A24">
              <w:rPr>
                <w:b/>
                <w:bCs/>
                <w:color w:val="auto"/>
                <w:sz w:val="20"/>
                <w:szCs w:val="20"/>
                <w:u w:val="none"/>
              </w:rPr>
              <w:t xml:space="preserve">1 </w:t>
            </w:r>
            <w:r w:rsidR="00912CA6">
              <w:rPr>
                <w:b/>
                <w:bCs/>
                <w:color w:val="auto"/>
                <w:sz w:val="20"/>
                <w:szCs w:val="20"/>
                <w:u w:val="none"/>
              </w:rPr>
              <w:t>b</w:t>
            </w:r>
            <w:r w:rsidR="003A0F37" w:rsidRPr="00BB4A24">
              <w:rPr>
                <w:b/>
                <w:bCs/>
                <w:color w:val="auto"/>
                <w:sz w:val="20"/>
                <w:szCs w:val="20"/>
                <w:u w:val="none"/>
              </w:rPr>
              <w:t>.</w:t>
            </w:r>
            <w:r w:rsidRPr="00BB4A24">
              <w:rPr>
                <w:b/>
                <w:bCs/>
                <w:color w:val="auto"/>
                <w:sz w:val="20"/>
                <w:szCs w:val="20"/>
                <w:u w:val="none"/>
              </w:rPr>
              <w:t xml:space="preserve"> Uwaga nieuwzględniona</w:t>
            </w:r>
          </w:p>
          <w:p w14:paraId="1299BC12" w14:textId="4AB860A2" w:rsidR="00E97882" w:rsidRPr="00BB4A24" w:rsidRDefault="00E97882" w:rsidP="00BB4A24">
            <w:pPr>
              <w:spacing w:after="0" w:line="276" w:lineRule="auto"/>
              <w:rPr>
                <w:color w:val="auto"/>
                <w:sz w:val="20"/>
                <w:szCs w:val="20"/>
                <w:u w:val="none"/>
              </w:rPr>
            </w:pPr>
            <w:bookmarkStart w:id="10" w:name="_Hlk71709220"/>
            <w:r w:rsidRPr="00BB4A24">
              <w:rPr>
                <w:color w:val="auto"/>
                <w:sz w:val="20"/>
                <w:szCs w:val="20"/>
                <w:u w:val="none"/>
              </w:rPr>
              <w:t>Zasadniczym celem definicji uwierzytelnienia jest wskazanie, że w wyniku przeprowadzenia tego procesu następuje identyfikacja użytkownika.  Wobec tego, że czynności użytkownika są dokonywane w systemie teleinformatycznym, proponowana definicja w sposób pełny i prawidłowy określa istotę uwierzytelnienia.</w:t>
            </w:r>
          </w:p>
          <w:p w14:paraId="1E600C75" w14:textId="65CAA3AB" w:rsidR="0075159C" w:rsidRPr="00BB4A24" w:rsidRDefault="0075159C" w:rsidP="00BB4A24">
            <w:pPr>
              <w:spacing w:after="0" w:line="276" w:lineRule="auto"/>
              <w:rPr>
                <w:color w:val="auto"/>
                <w:sz w:val="20"/>
                <w:szCs w:val="20"/>
                <w:u w:val="none"/>
              </w:rPr>
            </w:pPr>
          </w:p>
          <w:bookmarkEnd w:id="10"/>
          <w:p w14:paraId="29F5B5AF" w14:textId="77777777" w:rsidR="0075159C" w:rsidRPr="00BB4A24" w:rsidRDefault="0075159C" w:rsidP="00BB4A24">
            <w:pPr>
              <w:spacing w:after="0" w:line="276" w:lineRule="auto"/>
              <w:rPr>
                <w:color w:val="auto"/>
                <w:sz w:val="20"/>
                <w:szCs w:val="20"/>
                <w:u w:val="none"/>
              </w:rPr>
            </w:pPr>
          </w:p>
          <w:p w14:paraId="0AF1F8FB" w14:textId="12FA936D" w:rsidR="003A0F37" w:rsidRPr="00BB4A24" w:rsidRDefault="003A0F37" w:rsidP="00BB4A24">
            <w:pPr>
              <w:spacing w:after="0" w:line="276" w:lineRule="auto"/>
              <w:rPr>
                <w:color w:val="auto"/>
                <w:sz w:val="20"/>
                <w:szCs w:val="20"/>
                <w:u w:val="none"/>
              </w:rPr>
            </w:pPr>
          </w:p>
          <w:p w14:paraId="31F67CD0" w14:textId="77777777" w:rsidR="00BC516E" w:rsidRPr="00BB4A24" w:rsidRDefault="00BC516E" w:rsidP="00BB4A24">
            <w:pPr>
              <w:spacing w:after="0" w:line="276" w:lineRule="auto"/>
              <w:rPr>
                <w:color w:val="auto"/>
                <w:sz w:val="20"/>
                <w:szCs w:val="20"/>
                <w:u w:val="none"/>
              </w:rPr>
            </w:pPr>
          </w:p>
          <w:p w14:paraId="36196752" w14:textId="73EB2A5A" w:rsidR="003A0F37" w:rsidRPr="00BB4A24" w:rsidRDefault="003A0F37" w:rsidP="00BB4A24">
            <w:pPr>
              <w:spacing w:after="0" w:line="276" w:lineRule="auto"/>
              <w:rPr>
                <w:b/>
                <w:bCs/>
                <w:color w:val="auto"/>
                <w:sz w:val="20"/>
                <w:szCs w:val="20"/>
                <w:u w:val="none"/>
              </w:rPr>
            </w:pPr>
            <w:r w:rsidRPr="00BB4A24">
              <w:rPr>
                <w:b/>
                <w:bCs/>
                <w:color w:val="auto"/>
                <w:sz w:val="20"/>
                <w:szCs w:val="20"/>
                <w:u w:val="none"/>
              </w:rPr>
              <w:t>Ad. 2. Uwaga nieuwzględniona</w:t>
            </w:r>
          </w:p>
          <w:p w14:paraId="61F4A52D" w14:textId="38FFE435" w:rsidR="003A0F37" w:rsidRPr="00BB4A24" w:rsidRDefault="003A0F37" w:rsidP="00BB4A24">
            <w:pPr>
              <w:spacing w:after="0" w:line="276" w:lineRule="auto"/>
              <w:rPr>
                <w:sz w:val="20"/>
                <w:szCs w:val="20"/>
                <w:u w:val="none"/>
              </w:rPr>
            </w:pPr>
            <w:bookmarkStart w:id="11" w:name="_Hlk71709578"/>
            <w:r w:rsidRPr="00BB4A24">
              <w:rPr>
                <w:sz w:val="20"/>
                <w:szCs w:val="20"/>
                <w:u w:val="none"/>
              </w:rPr>
              <w:t>Celem proponowanej regulacji j</w:t>
            </w:r>
            <w:r w:rsidR="00AE39B8" w:rsidRPr="00BB4A24">
              <w:rPr>
                <w:sz w:val="20"/>
                <w:szCs w:val="20"/>
                <w:u w:val="none"/>
              </w:rPr>
              <w:t xml:space="preserve">est umożliwienie doręczenia </w:t>
            </w:r>
            <w:r w:rsidR="00BA0196" w:rsidRPr="00BB4A24">
              <w:rPr>
                <w:sz w:val="20"/>
                <w:szCs w:val="20"/>
                <w:u w:val="none"/>
              </w:rPr>
              <w:t>korespondencji</w:t>
            </w:r>
            <w:r w:rsidR="00AE39B8" w:rsidRPr="00BB4A24">
              <w:rPr>
                <w:sz w:val="20"/>
                <w:szCs w:val="20"/>
                <w:u w:val="none"/>
              </w:rPr>
              <w:t xml:space="preserve"> wnioskodawcy na</w:t>
            </w:r>
            <w:r w:rsidR="00F858BC" w:rsidRPr="00BB4A24">
              <w:rPr>
                <w:sz w:val="20"/>
                <w:szCs w:val="20"/>
                <w:u w:val="none"/>
              </w:rPr>
              <w:t xml:space="preserve"> konto inne</w:t>
            </w:r>
            <w:r w:rsidR="00AE39B8" w:rsidRPr="00BB4A24">
              <w:rPr>
                <w:sz w:val="20"/>
                <w:szCs w:val="20"/>
                <w:u w:val="none"/>
              </w:rPr>
              <w:t xml:space="preserve"> niż konto, z którego wpłynęło pierwsze pismo w sprawie. </w:t>
            </w:r>
            <w:r w:rsidR="00BA0196" w:rsidRPr="00BB4A24">
              <w:rPr>
                <w:sz w:val="20"/>
                <w:szCs w:val="20"/>
                <w:u w:val="none"/>
              </w:rPr>
              <w:t xml:space="preserve"> Prawo wskazania innego adresu do doręczeń nie budzi wątpliwości obecnie w postępowaniach tradycyjnych, prowadzonych „papierowo”. Powinno być ono uwzględnione również w postępowaniach prowadzonych za pośrednictwem systemu teleinformatycznego, z </w:t>
            </w:r>
            <w:r w:rsidR="00AE39B8" w:rsidRPr="00BB4A24">
              <w:rPr>
                <w:sz w:val="20"/>
                <w:szCs w:val="20"/>
                <w:u w:val="none"/>
              </w:rPr>
              <w:t>uwagi na</w:t>
            </w:r>
            <w:r w:rsidR="00BA0196" w:rsidRPr="00BB4A24">
              <w:rPr>
                <w:sz w:val="20"/>
                <w:szCs w:val="20"/>
                <w:u w:val="none"/>
              </w:rPr>
              <w:t xml:space="preserve">  zaistniałe zmiany, np. ustanowienie pełnomocnika </w:t>
            </w:r>
            <w:r w:rsidR="00AE39B8" w:rsidRPr="00BB4A24">
              <w:rPr>
                <w:sz w:val="20"/>
                <w:szCs w:val="20"/>
                <w:u w:val="none"/>
              </w:rPr>
              <w:t>w toku postępowania</w:t>
            </w:r>
            <w:r w:rsidR="00BA0196" w:rsidRPr="00BB4A24">
              <w:rPr>
                <w:sz w:val="20"/>
                <w:szCs w:val="20"/>
                <w:u w:val="none"/>
              </w:rPr>
              <w:t xml:space="preserve"> lub </w:t>
            </w:r>
            <w:r w:rsidR="00AE39B8" w:rsidRPr="00BB4A24">
              <w:rPr>
                <w:sz w:val="20"/>
                <w:szCs w:val="20"/>
                <w:u w:val="none"/>
              </w:rPr>
              <w:t>zmian</w:t>
            </w:r>
            <w:r w:rsidR="00BC516E" w:rsidRPr="00BB4A24">
              <w:rPr>
                <w:sz w:val="20"/>
                <w:szCs w:val="20"/>
                <w:u w:val="none"/>
              </w:rPr>
              <w:t>ę</w:t>
            </w:r>
            <w:r w:rsidR="00AE39B8" w:rsidRPr="00BB4A24">
              <w:rPr>
                <w:sz w:val="20"/>
                <w:szCs w:val="20"/>
                <w:u w:val="none"/>
              </w:rPr>
              <w:t xml:space="preserve"> osób uprawnionych do reprezentacji wnioskodawc</w:t>
            </w:r>
            <w:r w:rsidR="00BA0196" w:rsidRPr="00BB4A24">
              <w:rPr>
                <w:sz w:val="20"/>
                <w:szCs w:val="20"/>
                <w:u w:val="none"/>
              </w:rPr>
              <w:t>y.</w:t>
            </w:r>
          </w:p>
          <w:p w14:paraId="24402B23" w14:textId="4CC39D2E" w:rsidR="0075159C" w:rsidRPr="00BB4A24" w:rsidRDefault="0075159C" w:rsidP="00BB4A24">
            <w:pPr>
              <w:spacing w:after="0" w:line="276" w:lineRule="auto"/>
              <w:rPr>
                <w:sz w:val="20"/>
                <w:szCs w:val="20"/>
                <w:u w:val="none"/>
              </w:rPr>
            </w:pPr>
          </w:p>
          <w:bookmarkEnd w:id="11"/>
          <w:p w14:paraId="0771C1C9" w14:textId="3223E7DB" w:rsidR="0075159C" w:rsidRPr="00BB4A24" w:rsidRDefault="0075159C" w:rsidP="00BB4A24">
            <w:pPr>
              <w:spacing w:after="0" w:line="276" w:lineRule="auto"/>
              <w:rPr>
                <w:sz w:val="20"/>
                <w:szCs w:val="20"/>
                <w:u w:val="none"/>
              </w:rPr>
            </w:pPr>
          </w:p>
          <w:p w14:paraId="26827A00" w14:textId="768F29BD" w:rsidR="0075159C" w:rsidRPr="00BB4A24" w:rsidRDefault="0075159C" w:rsidP="00BB4A24">
            <w:pPr>
              <w:spacing w:after="0" w:line="276" w:lineRule="auto"/>
              <w:rPr>
                <w:sz w:val="20"/>
                <w:szCs w:val="20"/>
                <w:u w:val="none"/>
              </w:rPr>
            </w:pPr>
          </w:p>
          <w:p w14:paraId="6D412C65" w14:textId="78511EE4" w:rsidR="0075159C" w:rsidRPr="00BB4A24" w:rsidRDefault="0075159C" w:rsidP="00BB4A24">
            <w:pPr>
              <w:spacing w:after="0" w:line="276" w:lineRule="auto"/>
              <w:rPr>
                <w:sz w:val="20"/>
                <w:szCs w:val="20"/>
                <w:u w:val="none"/>
              </w:rPr>
            </w:pPr>
          </w:p>
          <w:p w14:paraId="5B1B08F0" w14:textId="3732BF9F" w:rsidR="0075159C" w:rsidRPr="00BB4A24" w:rsidRDefault="0075159C" w:rsidP="00BB4A24">
            <w:pPr>
              <w:spacing w:after="0" w:line="276" w:lineRule="auto"/>
              <w:rPr>
                <w:sz w:val="20"/>
                <w:szCs w:val="20"/>
                <w:u w:val="none"/>
              </w:rPr>
            </w:pPr>
          </w:p>
          <w:p w14:paraId="30EE07D6" w14:textId="36AF64C0" w:rsidR="0075159C" w:rsidRPr="00BB4A24" w:rsidRDefault="0075159C" w:rsidP="00BB4A24">
            <w:pPr>
              <w:spacing w:after="0" w:line="276" w:lineRule="auto"/>
              <w:rPr>
                <w:sz w:val="20"/>
                <w:szCs w:val="20"/>
                <w:u w:val="none"/>
              </w:rPr>
            </w:pPr>
          </w:p>
          <w:p w14:paraId="01B8E296" w14:textId="2CD936E3" w:rsidR="0075159C" w:rsidRPr="00BB4A24" w:rsidRDefault="0075159C" w:rsidP="00BB4A24">
            <w:pPr>
              <w:spacing w:after="0" w:line="276" w:lineRule="auto"/>
              <w:rPr>
                <w:sz w:val="20"/>
                <w:szCs w:val="20"/>
                <w:u w:val="none"/>
              </w:rPr>
            </w:pPr>
          </w:p>
          <w:p w14:paraId="241B6442" w14:textId="49E1EE86" w:rsidR="0075159C" w:rsidRPr="00BB4A24" w:rsidRDefault="0075159C" w:rsidP="00BB4A24">
            <w:pPr>
              <w:spacing w:after="0" w:line="276" w:lineRule="auto"/>
              <w:rPr>
                <w:sz w:val="20"/>
                <w:szCs w:val="20"/>
                <w:u w:val="none"/>
              </w:rPr>
            </w:pPr>
          </w:p>
          <w:p w14:paraId="7B886D82" w14:textId="3BDE0478" w:rsidR="0075159C" w:rsidRPr="00BB4A24" w:rsidRDefault="0075159C" w:rsidP="00BB4A24">
            <w:pPr>
              <w:spacing w:after="0" w:line="276" w:lineRule="auto"/>
              <w:rPr>
                <w:sz w:val="20"/>
                <w:szCs w:val="20"/>
                <w:u w:val="none"/>
              </w:rPr>
            </w:pPr>
          </w:p>
          <w:p w14:paraId="4F5E4D54" w14:textId="6FC97245" w:rsidR="0075159C" w:rsidRPr="00BB4A24" w:rsidRDefault="0075159C" w:rsidP="00BB4A24">
            <w:pPr>
              <w:spacing w:after="0" w:line="276" w:lineRule="auto"/>
              <w:rPr>
                <w:sz w:val="20"/>
                <w:szCs w:val="20"/>
                <w:u w:val="none"/>
              </w:rPr>
            </w:pPr>
          </w:p>
          <w:p w14:paraId="1E31AA58" w14:textId="7260AD62" w:rsidR="0075159C" w:rsidRPr="00BB4A24" w:rsidRDefault="0075159C" w:rsidP="00BB4A24">
            <w:pPr>
              <w:spacing w:after="0" w:line="276" w:lineRule="auto"/>
              <w:rPr>
                <w:sz w:val="20"/>
                <w:szCs w:val="20"/>
                <w:u w:val="none"/>
              </w:rPr>
            </w:pPr>
          </w:p>
          <w:p w14:paraId="01E88A62" w14:textId="511175CB" w:rsidR="0075159C" w:rsidRPr="00BB4A24" w:rsidRDefault="0075159C" w:rsidP="00BB4A24">
            <w:pPr>
              <w:spacing w:after="0" w:line="276" w:lineRule="auto"/>
              <w:rPr>
                <w:sz w:val="20"/>
                <w:szCs w:val="20"/>
                <w:u w:val="none"/>
              </w:rPr>
            </w:pPr>
          </w:p>
          <w:p w14:paraId="25E0BC53" w14:textId="39A582E3" w:rsidR="0075159C" w:rsidRPr="00BB4A24" w:rsidRDefault="0075159C" w:rsidP="00BB4A24">
            <w:pPr>
              <w:spacing w:after="0" w:line="276" w:lineRule="auto"/>
              <w:rPr>
                <w:sz w:val="20"/>
                <w:szCs w:val="20"/>
                <w:u w:val="none"/>
              </w:rPr>
            </w:pPr>
          </w:p>
          <w:p w14:paraId="1D9B03ED" w14:textId="5EF25D2F" w:rsidR="0075159C" w:rsidRPr="00BB4A24" w:rsidRDefault="0075159C" w:rsidP="00BB4A24">
            <w:pPr>
              <w:spacing w:after="0" w:line="276" w:lineRule="auto"/>
              <w:rPr>
                <w:sz w:val="20"/>
                <w:szCs w:val="20"/>
                <w:u w:val="none"/>
              </w:rPr>
            </w:pPr>
          </w:p>
          <w:p w14:paraId="12EDB5DC" w14:textId="44666DF9" w:rsidR="0075159C" w:rsidRPr="00BB4A24" w:rsidRDefault="0075159C" w:rsidP="00BB4A24">
            <w:pPr>
              <w:spacing w:after="0" w:line="276" w:lineRule="auto"/>
              <w:rPr>
                <w:sz w:val="20"/>
                <w:szCs w:val="20"/>
                <w:u w:val="none"/>
              </w:rPr>
            </w:pPr>
          </w:p>
          <w:p w14:paraId="2895B403" w14:textId="1227A6AB" w:rsidR="0075159C" w:rsidRPr="00BB4A24" w:rsidRDefault="0075159C" w:rsidP="00BB4A24">
            <w:pPr>
              <w:spacing w:after="0" w:line="276" w:lineRule="auto"/>
              <w:rPr>
                <w:sz w:val="20"/>
                <w:szCs w:val="20"/>
                <w:u w:val="none"/>
              </w:rPr>
            </w:pPr>
          </w:p>
          <w:p w14:paraId="16319DDA" w14:textId="088182B9" w:rsidR="0075159C" w:rsidRPr="00BB4A24" w:rsidRDefault="0075159C" w:rsidP="00BB4A24">
            <w:pPr>
              <w:spacing w:after="0" w:line="276" w:lineRule="auto"/>
              <w:rPr>
                <w:sz w:val="20"/>
                <w:szCs w:val="20"/>
                <w:u w:val="none"/>
              </w:rPr>
            </w:pPr>
          </w:p>
          <w:p w14:paraId="6B80B478" w14:textId="43984173" w:rsidR="0075159C" w:rsidRPr="00BB4A24" w:rsidRDefault="0075159C" w:rsidP="00BB4A24">
            <w:pPr>
              <w:spacing w:after="0" w:line="276" w:lineRule="auto"/>
              <w:rPr>
                <w:sz w:val="20"/>
                <w:szCs w:val="20"/>
                <w:u w:val="none"/>
              </w:rPr>
            </w:pPr>
          </w:p>
          <w:p w14:paraId="4313BB4F" w14:textId="67059A11" w:rsidR="0075159C" w:rsidRPr="00BB4A24" w:rsidRDefault="0075159C" w:rsidP="00BB4A24">
            <w:pPr>
              <w:spacing w:after="0" w:line="276" w:lineRule="auto"/>
              <w:rPr>
                <w:sz w:val="20"/>
                <w:szCs w:val="20"/>
                <w:u w:val="none"/>
              </w:rPr>
            </w:pPr>
          </w:p>
          <w:p w14:paraId="5CF46C3E" w14:textId="27E98035" w:rsidR="0075159C" w:rsidRPr="00BB4A24" w:rsidRDefault="0075159C" w:rsidP="00BB4A24">
            <w:pPr>
              <w:spacing w:after="0" w:line="276" w:lineRule="auto"/>
              <w:rPr>
                <w:sz w:val="20"/>
                <w:szCs w:val="20"/>
                <w:u w:val="none"/>
              </w:rPr>
            </w:pPr>
          </w:p>
          <w:p w14:paraId="43E84A7E" w14:textId="4BE28671" w:rsidR="0075159C" w:rsidRPr="00BB4A24" w:rsidRDefault="0075159C" w:rsidP="00BB4A24">
            <w:pPr>
              <w:spacing w:after="0" w:line="276" w:lineRule="auto"/>
              <w:rPr>
                <w:sz w:val="20"/>
                <w:szCs w:val="20"/>
                <w:u w:val="none"/>
              </w:rPr>
            </w:pPr>
          </w:p>
          <w:p w14:paraId="4C4C77F0" w14:textId="77777777" w:rsidR="00BC516E" w:rsidRPr="00BB4A24" w:rsidRDefault="00BC516E" w:rsidP="00BB4A24">
            <w:pPr>
              <w:spacing w:after="0" w:line="276" w:lineRule="auto"/>
              <w:rPr>
                <w:sz w:val="20"/>
                <w:szCs w:val="20"/>
                <w:u w:val="none"/>
              </w:rPr>
            </w:pPr>
          </w:p>
          <w:p w14:paraId="6C0DC0F6" w14:textId="66B09A32" w:rsidR="0075159C" w:rsidRPr="00BB4A24" w:rsidRDefault="0075159C" w:rsidP="00BB4A24">
            <w:pPr>
              <w:spacing w:after="0" w:line="276" w:lineRule="auto"/>
              <w:rPr>
                <w:sz w:val="20"/>
                <w:szCs w:val="20"/>
                <w:u w:val="none"/>
              </w:rPr>
            </w:pPr>
          </w:p>
          <w:p w14:paraId="201861AF" w14:textId="1385A928" w:rsidR="0075159C" w:rsidRPr="00BB4A24" w:rsidRDefault="0075159C" w:rsidP="00BB4A24">
            <w:pPr>
              <w:spacing w:after="0" w:line="276" w:lineRule="auto"/>
              <w:rPr>
                <w:b/>
                <w:bCs/>
                <w:sz w:val="20"/>
                <w:szCs w:val="20"/>
                <w:u w:val="none"/>
              </w:rPr>
            </w:pPr>
            <w:r w:rsidRPr="00BB4A24">
              <w:rPr>
                <w:b/>
                <w:bCs/>
                <w:sz w:val="20"/>
                <w:szCs w:val="20"/>
                <w:u w:val="none"/>
              </w:rPr>
              <w:t>Ad. 3. Uwaga nieuwzględniona</w:t>
            </w:r>
          </w:p>
          <w:p w14:paraId="0B875DF1" w14:textId="127DE956" w:rsidR="0075159C" w:rsidRPr="00BB4A24" w:rsidRDefault="00A11F6E" w:rsidP="00BB4A24">
            <w:pPr>
              <w:spacing w:after="0" w:line="276" w:lineRule="auto"/>
              <w:rPr>
                <w:color w:val="auto"/>
                <w:sz w:val="20"/>
                <w:szCs w:val="20"/>
                <w:u w:val="none"/>
              </w:rPr>
            </w:pPr>
            <w:bookmarkStart w:id="12" w:name="_Hlk71709743"/>
            <w:r w:rsidRPr="00BB4A24">
              <w:rPr>
                <w:sz w:val="20"/>
                <w:szCs w:val="20"/>
                <w:u w:val="none"/>
              </w:rPr>
              <w:t xml:space="preserve">Jak słusznie podniesiono w uwadze opiniowany projekt nie rezygnuje z elektronicznego potwierdzenia odbioru. Proponowana regulacja </w:t>
            </w:r>
            <w:r w:rsidR="0075159C" w:rsidRPr="00BB4A24">
              <w:rPr>
                <w:sz w:val="20"/>
                <w:szCs w:val="20"/>
                <w:u w:val="none"/>
              </w:rPr>
              <w:t>§ 4</w:t>
            </w:r>
            <w:r w:rsidRPr="00BB4A24">
              <w:rPr>
                <w:sz w:val="20"/>
                <w:szCs w:val="20"/>
                <w:u w:val="none"/>
              </w:rPr>
              <w:t xml:space="preserve"> </w:t>
            </w:r>
            <w:r w:rsidR="00BC516E" w:rsidRPr="00BB4A24">
              <w:rPr>
                <w:sz w:val="20"/>
                <w:szCs w:val="20"/>
                <w:u w:val="none"/>
              </w:rPr>
              <w:t xml:space="preserve">ust. 1 </w:t>
            </w:r>
            <w:r w:rsidRPr="00BB4A24">
              <w:rPr>
                <w:sz w:val="20"/>
                <w:szCs w:val="20"/>
                <w:u w:val="none"/>
              </w:rPr>
              <w:t xml:space="preserve">uwzględnia funkcjonalność sytemu teleinformatycznego, </w:t>
            </w:r>
            <w:r w:rsidR="002722F7" w:rsidRPr="00BB4A24">
              <w:rPr>
                <w:sz w:val="20"/>
                <w:szCs w:val="20"/>
                <w:u w:val="none"/>
              </w:rPr>
              <w:t>za pomocą której prezentowana jest data odbioru pisma. Z tych względów projektowane brzmienie przepisu jest zgodne z założeniami oraz funkcjonalnościami systemu</w:t>
            </w:r>
            <w:r w:rsidR="00BC516E" w:rsidRPr="00BB4A24">
              <w:rPr>
                <w:sz w:val="20"/>
                <w:szCs w:val="20"/>
                <w:u w:val="none"/>
              </w:rPr>
              <w:t xml:space="preserve"> teleinformatycznego</w:t>
            </w:r>
            <w:r w:rsidR="006841B7" w:rsidRPr="00BB4A24">
              <w:rPr>
                <w:sz w:val="20"/>
                <w:szCs w:val="20"/>
                <w:u w:val="none"/>
              </w:rPr>
              <w:t xml:space="preserve"> i zdaniem projektodawcy nie wymaga modyfikacji.</w:t>
            </w:r>
          </w:p>
          <w:bookmarkEnd w:id="12"/>
          <w:p w14:paraId="534FB5E7" w14:textId="77777777" w:rsidR="003A0F37" w:rsidRPr="00BB4A24" w:rsidRDefault="003A0F37" w:rsidP="00BB4A24">
            <w:pPr>
              <w:spacing w:after="0" w:line="276" w:lineRule="auto"/>
              <w:rPr>
                <w:color w:val="auto"/>
                <w:sz w:val="20"/>
                <w:szCs w:val="20"/>
                <w:u w:val="none"/>
              </w:rPr>
            </w:pPr>
          </w:p>
          <w:p w14:paraId="7C961EE9" w14:textId="70918690" w:rsidR="00E97882" w:rsidRPr="00BB4A24" w:rsidRDefault="006841B7" w:rsidP="00BB4A24">
            <w:pPr>
              <w:spacing w:after="0" w:line="276" w:lineRule="auto"/>
              <w:rPr>
                <w:b/>
                <w:bCs/>
                <w:color w:val="auto"/>
                <w:sz w:val="20"/>
                <w:szCs w:val="20"/>
                <w:u w:val="none"/>
              </w:rPr>
            </w:pPr>
            <w:r w:rsidRPr="00BB4A24">
              <w:rPr>
                <w:b/>
                <w:bCs/>
                <w:color w:val="auto"/>
                <w:sz w:val="20"/>
                <w:szCs w:val="20"/>
                <w:u w:val="none"/>
              </w:rPr>
              <w:t>Ad. 4. Uwaga nieuwzględniona</w:t>
            </w:r>
          </w:p>
          <w:p w14:paraId="6F55B4CF" w14:textId="32C55831" w:rsidR="004658B8" w:rsidRPr="00BB4A24" w:rsidRDefault="003A5CE1" w:rsidP="00BB4A24">
            <w:pPr>
              <w:spacing w:after="0" w:line="276" w:lineRule="auto"/>
              <w:rPr>
                <w:color w:val="auto"/>
                <w:sz w:val="20"/>
                <w:szCs w:val="20"/>
                <w:u w:val="none"/>
              </w:rPr>
            </w:pPr>
            <w:bookmarkStart w:id="13" w:name="_Hlk71709981"/>
            <w:r w:rsidRPr="00BB4A24">
              <w:rPr>
                <w:color w:val="auto"/>
                <w:sz w:val="20"/>
                <w:szCs w:val="20"/>
                <w:u w:val="none"/>
              </w:rPr>
              <w:t>Te</w:t>
            </w:r>
            <w:r w:rsidR="006841B7" w:rsidRPr="00BB4A24">
              <w:rPr>
                <w:color w:val="auto"/>
                <w:sz w:val="20"/>
                <w:szCs w:val="20"/>
                <w:u w:val="none"/>
              </w:rPr>
              <w:t>rmin</w:t>
            </w:r>
            <w:r w:rsidRPr="00BB4A24">
              <w:rPr>
                <w:color w:val="auto"/>
                <w:sz w:val="20"/>
                <w:szCs w:val="20"/>
                <w:u w:val="none"/>
              </w:rPr>
              <w:t xml:space="preserve"> „poucza” używany jest w Kodeksie postępowania cywilnego najczęściej w odniesieniu do czynności sądu.  Biorąc pod uwagę znacznie omawianego pojęcia, a także jego użycie ww. ustawie, użycie w projekcie wyrazu „informuje” dla określenia działania (funkcjonalności) systemu teleinformatycznego jest uzasadnione.</w:t>
            </w:r>
            <w:r w:rsidR="004658B8" w:rsidRPr="00BB4A24">
              <w:rPr>
                <w:sz w:val="20"/>
                <w:szCs w:val="20"/>
                <w:u w:val="none"/>
              </w:rPr>
              <w:t xml:space="preserve"> Rozporządzenie doprecyzowuje, że użytkownik konta przed uwierzytelnieniem na koncie nie otrzymuje pouczenia w sensie procesowym, ale  jest informowany odpowiednim komunikatem o sposobie i skutkach dokonywania doręczeń elektronicznych.</w:t>
            </w:r>
          </w:p>
          <w:bookmarkEnd w:id="13"/>
          <w:p w14:paraId="20BD8437" w14:textId="77777777" w:rsidR="00A16A39" w:rsidRPr="00BB4A24" w:rsidRDefault="00A16A39" w:rsidP="00BB4A24">
            <w:pPr>
              <w:spacing w:after="0" w:line="276" w:lineRule="auto"/>
              <w:rPr>
                <w:b/>
                <w:bCs/>
                <w:color w:val="auto"/>
                <w:sz w:val="20"/>
                <w:szCs w:val="20"/>
                <w:u w:val="none"/>
              </w:rPr>
            </w:pPr>
          </w:p>
          <w:p w14:paraId="1BC9C19E" w14:textId="17399E4E" w:rsidR="00A16A39" w:rsidRPr="00BB4A24" w:rsidRDefault="00935397" w:rsidP="00BB4A24">
            <w:pPr>
              <w:spacing w:after="0" w:line="276" w:lineRule="auto"/>
              <w:rPr>
                <w:b/>
                <w:bCs/>
                <w:color w:val="auto"/>
                <w:sz w:val="20"/>
                <w:szCs w:val="20"/>
                <w:u w:val="none"/>
              </w:rPr>
            </w:pPr>
            <w:r w:rsidRPr="00BB4A24">
              <w:rPr>
                <w:b/>
                <w:bCs/>
                <w:color w:val="auto"/>
                <w:sz w:val="20"/>
                <w:szCs w:val="20"/>
                <w:u w:val="none"/>
              </w:rPr>
              <w:t>Ad. 5. Uwaga nieuwzględniona</w:t>
            </w:r>
          </w:p>
          <w:p w14:paraId="3C1BA717" w14:textId="0C46DDB7" w:rsidR="00101753" w:rsidRPr="00BB4A24" w:rsidRDefault="00416CC8" w:rsidP="00BB4A24">
            <w:pPr>
              <w:spacing w:after="0" w:line="276" w:lineRule="auto"/>
              <w:rPr>
                <w:color w:val="auto"/>
                <w:sz w:val="20"/>
                <w:szCs w:val="20"/>
                <w:u w:val="none"/>
              </w:rPr>
            </w:pPr>
            <w:r w:rsidRPr="00BB4A24">
              <w:rPr>
                <w:color w:val="auto"/>
                <w:sz w:val="20"/>
                <w:szCs w:val="20"/>
                <w:u w:val="none"/>
              </w:rPr>
              <w:t xml:space="preserve">W </w:t>
            </w:r>
            <w:bookmarkStart w:id="14" w:name="_Hlk71710151"/>
            <w:r w:rsidRPr="00BB4A24">
              <w:rPr>
                <w:color w:val="auto"/>
                <w:sz w:val="20"/>
                <w:szCs w:val="20"/>
                <w:u w:val="none"/>
              </w:rPr>
              <w:t>postępowaniu rejestrowym a</w:t>
            </w:r>
            <w:r w:rsidR="00101753" w:rsidRPr="00BB4A24">
              <w:rPr>
                <w:color w:val="auto"/>
                <w:sz w:val="20"/>
                <w:szCs w:val="20"/>
                <w:u w:val="none"/>
              </w:rPr>
              <w:t>dresatem pisma najczęściej nie będzie użytkownik konta, ale podmiot podlegający wpisowi do Krajowego Rejestru Sądowego</w:t>
            </w:r>
            <w:r w:rsidR="002C22A9" w:rsidRPr="00BB4A24">
              <w:rPr>
                <w:color w:val="auto"/>
                <w:sz w:val="20"/>
                <w:szCs w:val="20"/>
                <w:u w:val="none"/>
              </w:rPr>
              <w:t>. Podmiot ten może ode</w:t>
            </w:r>
            <w:r w:rsidRPr="00BB4A24">
              <w:rPr>
                <w:color w:val="auto"/>
                <w:sz w:val="20"/>
                <w:szCs w:val="20"/>
                <w:u w:val="none"/>
              </w:rPr>
              <w:t>brać kierowaną do niego korespondencję za pośrednictwem konta osoby fizycznej</w:t>
            </w:r>
            <w:r w:rsidR="002C22A9" w:rsidRPr="00BB4A24">
              <w:rPr>
                <w:color w:val="auto"/>
                <w:sz w:val="20"/>
                <w:szCs w:val="20"/>
                <w:u w:val="none"/>
              </w:rPr>
              <w:t xml:space="preserve"> (użytkownika </w:t>
            </w:r>
            <w:r w:rsidR="002C22A9" w:rsidRPr="00BB4A24">
              <w:rPr>
                <w:color w:val="auto"/>
                <w:sz w:val="20"/>
                <w:szCs w:val="20"/>
                <w:u w:val="none"/>
              </w:rPr>
              <w:lastRenderedPageBreak/>
              <w:t>konta)</w:t>
            </w:r>
            <w:r w:rsidRPr="00BB4A24">
              <w:rPr>
                <w:color w:val="auto"/>
                <w:sz w:val="20"/>
                <w:szCs w:val="20"/>
                <w:u w:val="none"/>
              </w:rPr>
              <w:t>, z którego wniósł pierwsze pismo w sprawie</w:t>
            </w:r>
            <w:r w:rsidR="002C22A9" w:rsidRPr="00BB4A24">
              <w:rPr>
                <w:color w:val="auto"/>
                <w:sz w:val="20"/>
                <w:szCs w:val="20"/>
                <w:u w:val="none"/>
              </w:rPr>
              <w:t>,</w:t>
            </w:r>
            <w:r w:rsidRPr="00BB4A24">
              <w:rPr>
                <w:color w:val="auto"/>
                <w:sz w:val="20"/>
                <w:szCs w:val="20"/>
                <w:u w:val="none"/>
              </w:rPr>
              <w:t xml:space="preserve"> chyba</w:t>
            </w:r>
            <w:r w:rsidR="002C22A9" w:rsidRPr="00BB4A24">
              <w:rPr>
                <w:color w:val="auto"/>
                <w:sz w:val="20"/>
                <w:szCs w:val="20"/>
                <w:u w:val="none"/>
              </w:rPr>
              <w:t xml:space="preserve"> </w:t>
            </w:r>
            <w:r w:rsidRPr="00BB4A24">
              <w:rPr>
                <w:color w:val="auto"/>
                <w:sz w:val="20"/>
                <w:szCs w:val="20"/>
                <w:u w:val="none"/>
              </w:rPr>
              <w:t xml:space="preserve">że </w:t>
            </w:r>
            <w:r w:rsidR="00101753" w:rsidRPr="00BB4A24">
              <w:rPr>
                <w:sz w:val="20"/>
                <w:szCs w:val="20"/>
                <w:u w:val="none"/>
              </w:rPr>
              <w:t>w piśmie procesowym wskazał inne konto do doręczeń w systemie teleinformatycznym.</w:t>
            </w:r>
          </w:p>
          <w:bookmarkEnd w:id="14"/>
          <w:p w14:paraId="74F4D8E2" w14:textId="77777777" w:rsidR="00101753" w:rsidRPr="00BB4A24" w:rsidRDefault="00101753" w:rsidP="00BB4A24">
            <w:pPr>
              <w:spacing w:after="0" w:line="276" w:lineRule="auto"/>
              <w:rPr>
                <w:b/>
                <w:bCs/>
                <w:color w:val="auto"/>
                <w:sz w:val="20"/>
                <w:szCs w:val="20"/>
                <w:u w:val="none"/>
              </w:rPr>
            </w:pPr>
          </w:p>
          <w:p w14:paraId="41EF7786" w14:textId="1AC91644" w:rsidR="00D74249" w:rsidRPr="00BB4A24" w:rsidRDefault="00D74249" w:rsidP="00BB4A24">
            <w:pPr>
              <w:spacing w:after="0" w:line="276" w:lineRule="auto"/>
              <w:rPr>
                <w:color w:val="auto"/>
                <w:sz w:val="20"/>
                <w:szCs w:val="20"/>
                <w:u w:val="none"/>
              </w:rPr>
            </w:pPr>
          </w:p>
          <w:p w14:paraId="418682E5" w14:textId="6160571B" w:rsidR="00D74249" w:rsidRPr="00BB4A24" w:rsidRDefault="00D74249" w:rsidP="00BB4A24">
            <w:pPr>
              <w:spacing w:after="0" w:line="276" w:lineRule="auto"/>
              <w:rPr>
                <w:b/>
                <w:bCs/>
                <w:color w:val="auto"/>
                <w:sz w:val="20"/>
                <w:szCs w:val="20"/>
                <w:u w:val="none"/>
              </w:rPr>
            </w:pPr>
          </w:p>
        </w:tc>
      </w:tr>
    </w:tbl>
    <w:p w14:paraId="690827FA" w14:textId="77777777" w:rsidR="005473D6" w:rsidRPr="00E64051" w:rsidRDefault="005473D6" w:rsidP="00E64051">
      <w:pPr>
        <w:spacing w:after="0" w:line="276" w:lineRule="auto"/>
        <w:rPr>
          <w:color w:val="auto"/>
          <w:sz w:val="20"/>
          <w:szCs w:val="20"/>
        </w:rPr>
      </w:pPr>
    </w:p>
    <w:sectPr w:rsidR="005473D6" w:rsidRPr="00E640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000E2" w14:textId="77777777" w:rsidR="00E7167C" w:rsidRDefault="00E7167C" w:rsidP="004213D1">
      <w:pPr>
        <w:spacing w:after="0" w:line="240" w:lineRule="auto"/>
      </w:pPr>
      <w:r>
        <w:separator/>
      </w:r>
    </w:p>
  </w:endnote>
  <w:endnote w:type="continuationSeparator" w:id="0">
    <w:p w14:paraId="7145C976" w14:textId="77777777" w:rsidR="00E7167C" w:rsidRDefault="00E7167C" w:rsidP="00421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101CA" w14:textId="77777777" w:rsidR="00E7167C" w:rsidRDefault="00E7167C" w:rsidP="004213D1">
      <w:pPr>
        <w:spacing w:after="0" w:line="240" w:lineRule="auto"/>
      </w:pPr>
      <w:r>
        <w:separator/>
      </w:r>
    </w:p>
  </w:footnote>
  <w:footnote w:type="continuationSeparator" w:id="0">
    <w:p w14:paraId="533D1CAF" w14:textId="77777777" w:rsidR="00E7167C" w:rsidRDefault="00E7167C" w:rsidP="00421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621"/>
    <w:multiLevelType w:val="hybridMultilevel"/>
    <w:tmpl w:val="D50E05A0"/>
    <w:lvl w:ilvl="0" w:tplc="4EEE7932">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 w15:restartNumberingAfterBreak="0">
    <w:nsid w:val="217362E9"/>
    <w:multiLevelType w:val="hybridMultilevel"/>
    <w:tmpl w:val="46186ECA"/>
    <w:lvl w:ilvl="0" w:tplc="41E421DC">
      <w:start w:val="2"/>
      <w:numFmt w:val="decimal"/>
      <w:lvlText w:val="%1."/>
      <w:lvlJc w:val="left"/>
      <w:pPr>
        <w:ind w:left="218" w:hanging="360"/>
      </w:pPr>
      <w:rPr>
        <w:rFonts w:hint="default"/>
        <w:u w:val="single"/>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51487134"/>
    <w:multiLevelType w:val="hybridMultilevel"/>
    <w:tmpl w:val="FABCB42E"/>
    <w:lvl w:ilvl="0" w:tplc="E82EC1C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683FBD"/>
    <w:multiLevelType w:val="hybridMultilevel"/>
    <w:tmpl w:val="DCE4B700"/>
    <w:lvl w:ilvl="0" w:tplc="B42A5CF0">
      <w:start w:val="2"/>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0F"/>
    <w:rsid w:val="00030AE8"/>
    <w:rsid w:val="00053D97"/>
    <w:rsid w:val="000579E8"/>
    <w:rsid w:val="00093CB5"/>
    <w:rsid w:val="00097E0F"/>
    <w:rsid w:val="000D79D5"/>
    <w:rsid w:val="000F25FD"/>
    <w:rsid w:val="00101753"/>
    <w:rsid w:val="00131997"/>
    <w:rsid w:val="001A2C2D"/>
    <w:rsid w:val="001D3A3B"/>
    <w:rsid w:val="001F2152"/>
    <w:rsid w:val="002164B3"/>
    <w:rsid w:val="00235336"/>
    <w:rsid w:val="00264BDA"/>
    <w:rsid w:val="002659F0"/>
    <w:rsid w:val="002722F7"/>
    <w:rsid w:val="00274FF7"/>
    <w:rsid w:val="002866A0"/>
    <w:rsid w:val="002C22A9"/>
    <w:rsid w:val="002C47D3"/>
    <w:rsid w:val="00313C68"/>
    <w:rsid w:val="0032790F"/>
    <w:rsid w:val="00371ACD"/>
    <w:rsid w:val="003A0F37"/>
    <w:rsid w:val="003A5CE1"/>
    <w:rsid w:val="003E1B0F"/>
    <w:rsid w:val="003F2AA6"/>
    <w:rsid w:val="004112C2"/>
    <w:rsid w:val="00415377"/>
    <w:rsid w:val="00416CC8"/>
    <w:rsid w:val="004213D1"/>
    <w:rsid w:val="004658B8"/>
    <w:rsid w:val="004B4624"/>
    <w:rsid w:val="004D2A85"/>
    <w:rsid w:val="004E4346"/>
    <w:rsid w:val="00506259"/>
    <w:rsid w:val="00514A8A"/>
    <w:rsid w:val="0053603A"/>
    <w:rsid w:val="005430F8"/>
    <w:rsid w:val="005473D6"/>
    <w:rsid w:val="005703E2"/>
    <w:rsid w:val="005753D7"/>
    <w:rsid w:val="005975D8"/>
    <w:rsid w:val="005D61E2"/>
    <w:rsid w:val="005E1B02"/>
    <w:rsid w:val="005F33F4"/>
    <w:rsid w:val="00616056"/>
    <w:rsid w:val="006841B7"/>
    <w:rsid w:val="006C3293"/>
    <w:rsid w:val="006E1DA4"/>
    <w:rsid w:val="0075159C"/>
    <w:rsid w:val="007928B2"/>
    <w:rsid w:val="007A0549"/>
    <w:rsid w:val="007D4944"/>
    <w:rsid w:val="007E34B8"/>
    <w:rsid w:val="00807FF9"/>
    <w:rsid w:val="0081637A"/>
    <w:rsid w:val="00874888"/>
    <w:rsid w:val="008764D5"/>
    <w:rsid w:val="008A170B"/>
    <w:rsid w:val="008D3F0C"/>
    <w:rsid w:val="008E7407"/>
    <w:rsid w:val="008F0472"/>
    <w:rsid w:val="00912CA6"/>
    <w:rsid w:val="00935397"/>
    <w:rsid w:val="00956394"/>
    <w:rsid w:val="0097050E"/>
    <w:rsid w:val="00993789"/>
    <w:rsid w:val="009C152A"/>
    <w:rsid w:val="009C73F9"/>
    <w:rsid w:val="00A01E83"/>
    <w:rsid w:val="00A11F6E"/>
    <w:rsid w:val="00A16A39"/>
    <w:rsid w:val="00A468E1"/>
    <w:rsid w:val="00A5535A"/>
    <w:rsid w:val="00A7159C"/>
    <w:rsid w:val="00AA36E9"/>
    <w:rsid w:val="00AC73B3"/>
    <w:rsid w:val="00AE3371"/>
    <w:rsid w:val="00AE39B8"/>
    <w:rsid w:val="00B17005"/>
    <w:rsid w:val="00B229FF"/>
    <w:rsid w:val="00B76A27"/>
    <w:rsid w:val="00B80FC5"/>
    <w:rsid w:val="00B86E0E"/>
    <w:rsid w:val="00BA0196"/>
    <w:rsid w:val="00BB4A24"/>
    <w:rsid w:val="00BB7C67"/>
    <w:rsid w:val="00BC1121"/>
    <w:rsid w:val="00BC516E"/>
    <w:rsid w:val="00BD4669"/>
    <w:rsid w:val="00C05B94"/>
    <w:rsid w:val="00C13468"/>
    <w:rsid w:val="00C507E0"/>
    <w:rsid w:val="00C51AE2"/>
    <w:rsid w:val="00C661F4"/>
    <w:rsid w:val="00C91D9F"/>
    <w:rsid w:val="00CA04C1"/>
    <w:rsid w:val="00CA2308"/>
    <w:rsid w:val="00CA7BD4"/>
    <w:rsid w:val="00CB3319"/>
    <w:rsid w:val="00CB51AE"/>
    <w:rsid w:val="00CE2BE9"/>
    <w:rsid w:val="00D74249"/>
    <w:rsid w:val="00D850E4"/>
    <w:rsid w:val="00E64051"/>
    <w:rsid w:val="00E7167C"/>
    <w:rsid w:val="00E97882"/>
    <w:rsid w:val="00EF0A1F"/>
    <w:rsid w:val="00F04650"/>
    <w:rsid w:val="00F10D0F"/>
    <w:rsid w:val="00F70047"/>
    <w:rsid w:val="00F76FF9"/>
    <w:rsid w:val="00F858BC"/>
    <w:rsid w:val="00F969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E5F62"/>
  <w15:chartTrackingRefBased/>
  <w15:docId w15:val="{4A09E843-6611-4850-AF48-2B1C34F2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F0A1F"/>
    <w:pPr>
      <w:spacing w:after="201" w:line="274" w:lineRule="auto"/>
      <w:jc w:val="both"/>
    </w:pPr>
    <w:rPr>
      <w:rFonts w:ascii="Times New Roman" w:eastAsia="Times New Roman" w:hAnsi="Times New Roman" w:cs="Times New Roman"/>
      <w:color w:val="000000"/>
      <w:sz w:val="24"/>
      <w:u w:val="single" w:color="000000"/>
      <w:lang w:eastAsia="pl-PL"/>
    </w:rPr>
  </w:style>
  <w:style w:type="paragraph" w:styleId="Nagwek1">
    <w:name w:val="heading 1"/>
    <w:basedOn w:val="Normalny"/>
    <w:next w:val="Normalny"/>
    <w:link w:val="Nagwek1Znak"/>
    <w:uiPriority w:val="9"/>
    <w:qFormat/>
    <w:rsid w:val="007D49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EF0A1F"/>
    <w:pPr>
      <w:spacing w:after="0" w:line="240" w:lineRule="auto"/>
    </w:pPr>
    <w:rPr>
      <w:rFonts w:eastAsiaTheme="minorEastAsia"/>
      <w:lang w:eastAsia="pl-PL"/>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5430F8"/>
    <w:rPr>
      <w:sz w:val="16"/>
      <w:szCs w:val="16"/>
    </w:rPr>
  </w:style>
  <w:style w:type="paragraph" w:styleId="Tekstkomentarza">
    <w:name w:val="annotation text"/>
    <w:basedOn w:val="Normalny"/>
    <w:link w:val="TekstkomentarzaZnak"/>
    <w:uiPriority w:val="99"/>
    <w:semiHidden/>
    <w:unhideWhenUsed/>
    <w:rsid w:val="005430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430F8"/>
    <w:rPr>
      <w:rFonts w:ascii="Times New Roman" w:eastAsia="Times New Roman" w:hAnsi="Times New Roman" w:cs="Times New Roman"/>
      <w:color w:val="000000"/>
      <w:sz w:val="20"/>
      <w:szCs w:val="20"/>
      <w:u w:val="single" w:color="000000"/>
      <w:lang w:eastAsia="pl-PL"/>
    </w:rPr>
  </w:style>
  <w:style w:type="paragraph" w:styleId="Tematkomentarza">
    <w:name w:val="annotation subject"/>
    <w:basedOn w:val="Tekstkomentarza"/>
    <w:next w:val="Tekstkomentarza"/>
    <w:link w:val="TematkomentarzaZnak"/>
    <w:uiPriority w:val="99"/>
    <w:semiHidden/>
    <w:unhideWhenUsed/>
    <w:rsid w:val="005430F8"/>
    <w:rPr>
      <w:b/>
      <w:bCs/>
    </w:rPr>
  </w:style>
  <w:style w:type="character" w:customStyle="1" w:styleId="TematkomentarzaZnak">
    <w:name w:val="Temat komentarza Znak"/>
    <w:basedOn w:val="TekstkomentarzaZnak"/>
    <w:link w:val="Tematkomentarza"/>
    <w:uiPriority w:val="99"/>
    <w:semiHidden/>
    <w:rsid w:val="005430F8"/>
    <w:rPr>
      <w:rFonts w:ascii="Times New Roman" w:eastAsia="Times New Roman" w:hAnsi="Times New Roman" w:cs="Times New Roman"/>
      <w:b/>
      <w:bCs/>
      <w:color w:val="000000"/>
      <w:sz w:val="20"/>
      <w:szCs w:val="20"/>
      <w:u w:val="single" w:color="000000"/>
      <w:lang w:eastAsia="pl-PL"/>
    </w:rPr>
  </w:style>
  <w:style w:type="paragraph" w:styleId="Tekstdymka">
    <w:name w:val="Balloon Text"/>
    <w:basedOn w:val="Normalny"/>
    <w:link w:val="TekstdymkaZnak"/>
    <w:uiPriority w:val="99"/>
    <w:semiHidden/>
    <w:unhideWhenUsed/>
    <w:rsid w:val="005430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0F8"/>
    <w:rPr>
      <w:rFonts w:ascii="Segoe UI" w:eastAsia="Times New Roman" w:hAnsi="Segoe UI" w:cs="Segoe UI"/>
      <w:color w:val="000000"/>
      <w:sz w:val="18"/>
      <w:szCs w:val="18"/>
      <w:u w:val="single" w:color="000000"/>
      <w:lang w:eastAsia="pl-PL"/>
    </w:rPr>
  </w:style>
  <w:style w:type="paragraph" w:styleId="Tekstpodstawowy">
    <w:name w:val="Body Text"/>
    <w:basedOn w:val="Normalny"/>
    <w:link w:val="TekstpodstawowyZnak"/>
    <w:rsid w:val="005430F8"/>
    <w:pPr>
      <w:spacing w:after="120" w:line="240" w:lineRule="auto"/>
      <w:jc w:val="left"/>
    </w:pPr>
    <w:rPr>
      <w:color w:val="auto"/>
      <w:szCs w:val="20"/>
      <w:u w:val="none"/>
    </w:rPr>
  </w:style>
  <w:style w:type="character" w:customStyle="1" w:styleId="TekstpodstawowyZnak">
    <w:name w:val="Tekst podstawowy Znak"/>
    <w:basedOn w:val="Domylnaczcionkaakapitu"/>
    <w:link w:val="Tekstpodstawowy"/>
    <w:rsid w:val="005430F8"/>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30F8"/>
    <w:pPr>
      <w:spacing w:after="160" w:line="259" w:lineRule="auto"/>
      <w:ind w:left="720"/>
      <w:contextualSpacing/>
      <w:jc w:val="left"/>
    </w:pPr>
    <w:rPr>
      <w:rFonts w:ascii="Calibri" w:eastAsia="Calibri" w:hAnsi="Calibri" w:cs="Calibri"/>
      <w:sz w:val="22"/>
      <w:u w:val="none"/>
    </w:rPr>
  </w:style>
  <w:style w:type="paragraph" w:styleId="Tekstprzypisukocowego">
    <w:name w:val="endnote text"/>
    <w:basedOn w:val="Normalny"/>
    <w:link w:val="TekstprzypisukocowegoZnak"/>
    <w:uiPriority w:val="99"/>
    <w:semiHidden/>
    <w:unhideWhenUsed/>
    <w:rsid w:val="004213D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13D1"/>
    <w:rPr>
      <w:rFonts w:ascii="Times New Roman" w:eastAsia="Times New Roman" w:hAnsi="Times New Roman" w:cs="Times New Roman"/>
      <w:color w:val="000000"/>
      <w:sz w:val="20"/>
      <w:szCs w:val="20"/>
      <w:u w:val="single" w:color="000000"/>
      <w:lang w:eastAsia="pl-PL"/>
    </w:rPr>
  </w:style>
  <w:style w:type="character" w:styleId="Odwoanieprzypisukocowego">
    <w:name w:val="endnote reference"/>
    <w:basedOn w:val="Domylnaczcionkaakapitu"/>
    <w:uiPriority w:val="99"/>
    <w:semiHidden/>
    <w:unhideWhenUsed/>
    <w:rsid w:val="004213D1"/>
    <w:rPr>
      <w:vertAlign w:val="superscript"/>
    </w:rPr>
  </w:style>
  <w:style w:type="character" w:customStyle="1" w:styleId="Nagwek1Znak">
    <w:name w:val="Nagłówek 1 Znak"/>
    <w:basedOn w:val="Domylnaczcionkaakapitu"/>
    <w:link w:val="Nagwek1"/>
    <w:uiPriority w:val="9"/>
    <w:rsid w:val="007D4944"/>
    <w:rPr>
      <w:rFonts w:asciiTheme="majorHAnsi" w:eastAsiaTheme="majorEastAsia" w:hAnsiTheme="majorHAnsi" w:cstheme="majorBidi"/>
      <w:color w:val="2F5496" w:themeColor="accent1" w:themeShade="BF"/>
      <w:sz w:val="32"/>
      <w:szCs w:val="32"/>
      <w:u w:val="single" w:color="000000"/>
      <w:lang w:eastAsia="pl-PL"/>
    </w:rPr>
  </w:style>
  <w:style w:type="paragraph" w:customStyle="1" w:styleId="Default">
    <w:name w:val="Default"/>
    <w:rsid w:val="00514A8A"/>
    <w:pPr>
      <w:autoSpaceDE w:val="0"/>
      <w:autoSpaceDN w:val="0"/>
      <w:adjustRightInd w:val="0"/>
      <w:spacing w:after="0" w:line="240" w:lineRule="auto"/>
    </w:pPr>
    <w:rPr>
      <w:rFonts w:ascii="Garamond" w:hAnsi="Garamond" w:cs="Garamond"/>
      <w:color w:val="000000"/>
      <w:sz w:val="24"/>
      <w:szCs w:val="24"/>
    </w:rPr>
  </w:style>
  <w:style w:type="character" w:customStyle="1" w:styleId="IGindeksgrny">
    <w:name w:val="_IG_ – indeks górny"/>
    <w:basedOn w:val="Domylnaczcionkaakapitu"/>
    <w:uiPriority w:val="2"/>
    <w:qFormat/>
    <w:rsid w:val="001A2C2D"/>
    <w:rPr>
      <w:b w:val="0"/>
      <w:i w:val="0"/>
      <w:vanish w:val="0"/>
      <w:spacing w:val="0"/>
      <w:vertAlign w:val="superscript"/>
    </w:rPr>
  </w:style>
  <w:style w:type="character" w:customStyle="1" w:styleId="articletitle">
    <w:name w:val="articletitle"/>
    <w:basedOn w:val="Domylnaczcionkaakapitu"/>
    <w:rsid w:val="001A2C2D"/>
  </w:style>
  <w:style w:type="character" w:styleId="Hipercze">
    <w:name w:val="Hyperlink"/>
    <w:basedOn w:val="Domylnaczcionkaakapitu"/>
    <w:uiPriority w:val="99"/>
    <w:semiHidden/>
    <w:unhideWhenUsed/>
    <w:rsid w:val="001A2C2D"/>
    <w:rPr>
      <w:color w:val="0000FF"/>
      <w:u w:val="single"/>
    </w:rPr>
  </w:style>
  <w:style w:type="paragraph" w:customStyle="1" w:styleId="ZARTzmartartykuempunktem">
    <w:name w:val="Z/ART(§) – zm. art. (§) artykułem (punktem)"/>
    <w:basedOn w:val="Normalny"/>
    <w:uiPriority w:val="30"/>
    <w:qFormat/>
    <w:rsid w:val="00101753"/>
    <w:pPr>
      <w:suppressAutoHyphens/>
      <w:autoSpaceDE w:val="0"/>
      <w:autoSpaceDN w:val="0"/>
      <w:adjustRightInd w:val="0"/>
      <w:spacing w:after="0" w:line="360" w:lineRule="auto"/>
      <w:ind w:left="510" w:firstLine="510"/>
    </w:pPr>
    <w:rPr>
      <w:rFonts w:ascii="Times" w:eastAsiaTheme="minorEastAsia" w:hAnsi="Times" w:cs="Arial"/>
      <w:color w:val="auto"/>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489230">
      <w:bodyDiv w:val="1"/>
      <w:marLeft w:val="0"/>
      <w:marRight w:val="0"/>
      <w:marTop w:val="0"/>
      <w:marBottom w:val="0"/>
      <w:divBdr>
        <w:top w:val="none" w:sz="0" w:space="0" w:color="auto"/>
        <w:left w:val="none" w:sz="0" w:space="0" w:color="auto"/>
        <w:bottom w:val="none" w:sz="0" w:space="0" w:color="auto"/>
        <w:right w:val="none" w:sz="0" w:space="0" w:color="auto"/>
      </w:divBdr>
      <w:divsChild>
        <w:div w:id="1460999077">
          <w:marLeft w:val="0"/>
          <w:marRight w:val="0"/>
          <w:marTop w:val="150"/>
          <w:marBottom w:val="168"/>
          <w:divBdr>
            <w:top w:val="none" w:sz="0" w:space="0" w:color="auto"/>
            <w:left w:val="none" w:sz="0" w:space="0" w:color="auto"/>
            <w:bottom w:val="none" w:sz="0" w:space="0" w:color="auto"/>
            <w:right w:val="none" w:sz="0" w:space="0" w:color="auto"/>
          </w:divBdr>
        </w:div>
        <w:div w:id="488061998">
          <w:marLeft w:val="0"/>
          <w:marRight w:val="0"/>
          <w:marTop w:val="0"/>
          <w:marBottom w:val="0"/>
          <w:divBdr>
            <w:top w:val="none" w:sz="0" w:space="0" w:color="auto"/>
            <w:left w:val="none" w:sz="0" w:space="0" w:color="auto"/>
            <w:bottom w:val="none" w:sz="0" w:space="0" w:color="auto"/>
            <w:right w:val="none" w:sz="0" w:space="0" w:color="auto"/>
          </w:divBdr>
          <w:divsChild>
            <w:div w:id="56249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347993">
      <w:bodyDiv w:val="1"/>
      <w:marLeft w:val="0"/>
      <w:marRight w:val="0"/>
      <w:marTop w:val="0"/>
      <w:marBottom w:val="0"/>
      <w:divBdr>
        <w:top w:val="none" w:sz="0" w:space="0" w:color="auto"/>
        <w:left w:val="none" w:sz="0" w:space="0" w:color="auto"/>
        <w:bottom w:val="none" w:sz="0" w:space="0" w:color="auto"/>
        <w:right w:val="none" w:sz="0" w:space="0" w:color="auto"/>
      </w:divBdr>
      <w:divsChild>
        <w:div w:id="388959782">
          <w:marLeft w:val="0"/>
          <w:marRight w:val="0"/>
          <w:marTop w:val="150"/>
          <w:marBottom w:val="168"/>
          <w:divBdr>
            <w:top w:val="none" w:sz="0" w:space="0" w:color="auto"/>
            <w:left w:val="none" w:sz="0" w:space="0" w:color="auto"/>
            <w:bottom w:val="none" w:sz="0" w:space="0" w:color="auto"/>
            <w:right w:val="none" w:sz="0" w:space="0" w:color="auto"/>
          </w:divBdr>
        </w:div>
        <w:div w:id="1503399060">
          <w:marLeft w:val="0"/>
          <w:marRight w:val="0"/>
          <w:marTop w:val="0"/>
          <w:marBottom w:val="0"/>
          <w:divBdr>
            <w:top w:val="none" w:sz="0" w:space="0" w:color="auto"/>
            <w:left w:val="none" w:sz="0" w:space="0" w:color="auto"/>
            <w:bottom w:val="none" w:sz="0" w:space="0" w:color="auto"/>
            <w:right w:val="none" w:sz="0" w:space="0" w:color="auto"/>
          </w:divBdr>
        </w:div>
        <w:div w:id="602110988">
          <w:marLeft w:val="0"/>
          <w:marRight w:val="0"/>
          <w:marTop w:val="0"/>
          <w:marBottom w:val="0"/>
          <w:divBdr>
            <w:top w:val="none" w:sz="0" w:space="0" w:color="auto"/>
            <w:left w:val="none" w:sz="0" w:space="0" w:color="auto"/>
            <w:bottom w:val="none" w:sz="0" w:space="0" w:color="auto"/>
            <w:right w:val="none" w:sz="0" w:space="0" w:color="auto"/>
          </w:divBdr>
        </w:div>
        <w:div w:id="1991670935">
          <w:marLeft w:val="0"/>
          <w:marRight w:val="0"/>
          <w:marTop w:val="0"/>
          <w:marBottom w:val="0"/>
          <w:divBdr>
            <w:top w:val="none" w:sz="0" w:space="0" w:color="auto"/>
            <w:left w:val="none" w:sz="0" w:space="0" w:color="auto"/>
            <w:bottom w:val="none" w:sz="0" w:space="0" w:color="auto"/>
            <w:right w:val="none" w:sz="0" w:space="0" w:color="auto"/>
          </w:divBdr>
        </w:div>
        <w:div w:id="1533881622">
          <w:marLeft w:val="0"/>
          <w:marRight w:val="0"/>
          <w:marTop w:val="0"/>
          <w:marBottom w:val="0"/>
          <w:divBdr>
            <w:top w:val="none" w:sz="0" w:space="0" w:color="auto"/>
            <w:left w:val="none" w:sz="0" w:space="0" w:color="auto"/>
            <w:bottom w:val="none" w:sz="0" w:space="0" w:color="auto"/>
            <w:right w:val="none" w:sz="0" w:space="0" w:color="auto"/>
          </w:divBdr>
        </w:div>
      </w:divsChild>
    </w:div>
    <w:div w:id="1851407480">
      <w:bodyDiv w:val="1"/>
      <w:marLeft w:val="0"/>
      <w:marRight w:val="0"/>
      <w:marTop w:val="0"/>
      <w:marBottom w:val="0"/>
      <w:divBdr>
        <w:top w:val="none" w:sz="0" w:space="0" w:color="auto"/>
        <w:left w:val="none" w:sz="0" w:space="0" w:color="auto"/>
        <w:bottom w:val="none" w:sz="0" w:space="0" w:color="auto"/>
        <w:right w:val="none" w:sz="0" w:space="0" w:color="auto"/>
      </w:divBdr>
      <w:divsChild>
        <w:div w:id="1698702835">
          <w:marLeft w:val="0"/>
          <w:marRight w:val="0"/>
          <w:marTop w:val="150"/>
          <w:marBottom w:val="168"/>
          <w:divBdr>
            <w:top w:val="none" w:sz="0" w:space="0" w:color="auto"/>
            <w:left w:val="none" w:sz="0" w:space="0" w:color="auto"/>
            <w:bottom w:val="none" w:sz="0" w:space="0" w:color="auto"/>
            <w:right w:val="none" w:sz="0" w:space="0" w:color="auto"/>
          </w:divBdr>
        </w:div>
        <w:div w:id="853609996">
          <w:marLeft w:val="0"/>
          <w:marRight w:val="0"/>
          <w:marTop w:val="0"/>
          <w:marBottom w:val="0"/>
          <w:divBdr>
            <w:top w:val="none" w:sz="0" w:space="0" w:color="auto"/>
            <w:left w:val="none" w:sz="0" w:space="0" w:color="auto"/>
            <w:bottom w:val="none" w:sz="0" w:space="0" w:color="auto"/>
            <w:right w:val="none" w:sz="0" w:space="0" w:color="auto"/>
          </w:divBdr>
          <w:divsChild>
            <w:div w:id="2147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28498">
      <w:bodyDiv w:val="1"/>
      <w:marLeft w:val="0"/>
      <w:marRight w:val="0"/>
      <w:marTop w:val="0"/>
      <w:marBottom w:val="0"/>
      <w:divBdr>
        <w:top w:val="none" w:sz="0" w:space="0" w:color="auto"/>
        <w:left w:val="none" w:sz="0" w:space="0" w:color="auto"/>
        <w:bottom w:val="none" w:sz="0" w:space="0" w:color="auto"/>
        <w:right w:val="none" w:sz="0" w:space="0" w:color="auto"/>
      </w:divBdr>
      <w:divsChild>
        <w:div w:id="1272855169">
          <w:marLeft w:val="0"/>
          <w:marRight w:val="0"/>
          <w:marTop w:val="150"/>
          <w:marBottom w:val="16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1379</Words>
  <Characters>8279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Olkowicz Agnieszka  (DLPC)</dc:creator>
  <cp:keywords/>
  <dc:description/>
  <cp:lastModifiedBy>Flisikowski Rafał  (DLPC)</cp:lastModifiedBy>
  <cp:revision>3</cp:revision>
  <dcterms:created xsi:type="dcterms:W3CDTF">2021-05-27T12:38:00Z</dcterms:created>
  <dcterms:modified xsi:type="dcterms:W3CDTF">2021-05-27T12:41:00Z</dcterms:modified>
</cp:coreProperties>
</file>